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B1061">
      <w:pPr>
        <w:pStyle w:val="12"/>
      </w:pPr>
      <w:r>
        <w:t>福州市阳光实验学校餐饮人工服务项目</w:t>
      </w:r>
    </w:p>
    <w:p w14:paraId="2B41AE57">
      <w:pPr>
        <w:pStyle w:val="13"/>
        <w:jc w:val="center"/>
        <w:rPr>
          <w:sz w:val="36"/>
          <w:szCs w:val="28"/>
        </w:rPr>
      </w:pPr>
      <w:r>
        <w:rPr>
          <w:sz w:val="36"/>
          <w:szCs w:val="28"/>
        </w:rPr>
        <w:t>标段二（风味档口餐饮人工服务）中标（成交）结果及评审情况报告</w:t>
      </w:r>
    </w:p>
    <w:p w14:paraId="3D0CA0DC">
      <w:pPr>
        <w:pStyle w:val="15"/>
      </w:pPr>
      <w:r>
        <w:t>致：各有关供应商</w:t>
      </w:r>
    </w:p>
    <w:p w14:paraId="0B73DBAE">
      <w:pPr>
        <w:pStyle w:val="17"/>
      </w:pPr>
      <w:r>
        <w:t>福州市阳光实验学校餐饮人工服务项目（标段二：风味档口餐饮人工服务）竞争性磋商采购活动已按《中华人民共和国政府采购法》及本项目竞争性磋商文件的有关规定完成评审。现将资格审查、符合性审查、综合评分及中标（成交）结果报告如下。</w:t>
      </w:r>
    </w:p>
    <w:p w14:paraId="6C9E4774">
      <w:pPr>
        <w:pStyle w:val="19"/>
        <w:ind w:left="0" w:leftChars="0" w:firstLine="712" w:firstLineChars="200"/>
      </w:pPr>
      <w:r>
        <w:t>一、项目基本情况</w:t>
      </w:r>
    </w:p>
    <w:tbl>
      <w:tblPr>
        <w:tblStyle w:val="9"/>
        <w:tblW w:w="0" w:type="auto"/>
        <w:jc w:val="center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5839"/>
      </w:tblGrid>
      <w:tr w14:paraId="5DE7CC1D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6724E961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项目名称</w:t>
            </w:r>
          </w:p>
        </w:tc>
        <w:tc>
          <w:tcPr>
            <w:tcW w:w="5839" w:type="dxa"/>
          </w:tcPr>
          <w:p w14:paraId="642C32C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福州市阳光实验学校餐饮人工服务项目</w:t>
            </w:r>
          </w:p>
        </w:tc>
      </w:tr>
      <w:tr w14:paraId="35B2C004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66213037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项目编号</w:t>
            </w:r>
          </w:p>
        </w:tc>
        <w:tc>
          <w:tcPr>
            <w:tcW w:w="5839" w:type="dxa"/>
          </w:tcPr>
          <w:p w14:paraId="4FB15C0B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YGSC2026001</w:t>
            </w:r>
          </w:p>
        </w:tc>
      </w:tr>
      <w:tr w14:paraId="63AD0565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BC7CB3A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采购方式</w:t>
            </w:r>
          </w:p>
        </w:tc>
        <w:tc>
          <w:tcPr>
            <w:tcW w:w="5839" w:type="dxa"/>
          </w:tcPr>
          <w:p w14:paraId="037EE5F7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竞争性磋商</w:t>
            </w:r>
          </w:p>
        </w:tc>
      </w:tr>
      <w:tr w14:paraId="06E23186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7690A824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采购内容</w:t>
            </w:r>
          </w:p>
        </w:tc>
        <w:tc>
          <w:tcPr>
            <w:tcW w:w="5839" w:type="dxa"/>
          </w:tcPr>
          <w:p w14:paraId="0D062655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标段二：风味档口餐饮人工服务（含13个风味档口餐食制作与售卖）</w:t>
            </w:r>
          </w:p>
        </w:tc>
      </w:tr>
      <w:tr w14:paraId="38C409AE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4BD931D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预算金额</w:t>
            </w:r>
          </w:p>
        </w:tc>
        <w:tc>
          <w:tcPr>
            <w:tcW w:w="5839" w:type="dxa"/>
          </w:tcPr>
          <w:p w14:paraId="6D9D4D1A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人民币378万元/年（据实结算）</w:t>
            </w:r>
          </w:p>
        </w:tc>
      </w:tr>
      <w:tr w14:paraId="17669FC9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18201500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服务人数</w:t>
            </w:r>
          </w:p>
        </w:tc>
        <w:tc>
          <w:tcPr>
            <w:tcW w:w="5839" w:type="dxa"/>
          </w:tcPr>
          <w:p w14:paraId="31B19998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约2100人</w:t>
            </w:r>
          </w:p>
        </w:tc>
      </w:tr>
      <w:tr w14:paraId="04757EE1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2665FC8A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服务天数</w:t>
            </w:r>
          </w:p>
        </w:tc>
        <w:tc>
          <w:tcPr>
            <w:tcW w:w="5839" w:type="dxa"/>
          </w:tcPr>
          <w:p w14:paraId="0476A667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约200天/学年</w:t>
            </w:r>
          </w:p>
        </w:tc>
      </w:tr>
      <w:tr w14:paraId="27B2C34A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6E6BFD3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最低人员配置</w:t>
            </w:r>
          </w:p>
        </w:tc>
        <w:tc>
          <w:tcPr>
            <w:tcW w:w="5839" w:type="dxa"/>
          </w:tcPr>
          <w:p w14:paraId="234DB6C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13个风味档口，至少配备员工39名</w:t>
            </w:r>
          </w:p>
        </w:tc>
      </w:tr>
      <w:tr w14:paraId="47AA4800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6396173C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履约地点</w:t>
            </w:r>
          </w:p>
        </w:tc>
        <w:tc>
          <w:tcPr>
            <w:tcW w:w="5839" w:type="dxa"/>
          </w:tcPr>
          <w:p w14:paraId="6ABDABA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福州市阳光实验学校向日葵餐厅</w:t>
            </w:r>
          </w:p>
        </w:tc>
      </w:tr>
      <w:tr w14:paraId="1652D3EE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18C00920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履约期限</w:t>
            </w:r>
          </w:p>
        </w:tc>
        <w:tc>
          <w:tcPr>
            <w:tcW w:w="5839" w:type="dxa"/>
          </w:tcPr>
          <w:p w14:paraId="1230FB6C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10年（自2026年8月25日起至2036年8月24日止，每两年度签订一次合同）</w:t>
            </w:r>
          </w:p>
        </w:tc>
      </w:tr>
      <w:tr w14:paraId="3781BCC9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20FB1C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响应文件开启时间</w:t>
            </w:r>
          </w:p>
        </w:tc>
        <w:tc>
          <w:tcPr>
            <w:tcW w:w="5839" w:type="dxa"/>
          </w:tcPr>
          <w:p w14:paraId="10729400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2026年8月14日15时30分（北京时间）</w:t>
            </w:r>
          </w:p>
        </w:tc>
      </w:tr>
      <w:tr w14:paraId="357D0477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48867171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采购人</w:t>
            </w:r>
          </w:p>
        </w:tc>
        <w:tc>
          <w:tcPr>
            <w:tcW w:w="5839" w:type="dxa"/>
          </w:tcPr>
          <w:p w14:paraId="05B92C3B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福州市阳光实验学校</w:t>
            </w:r>
          </w:p>
        </w:tc>
      </w:tr>
    </w:tbl>
    <w:p w14:paraId="0F1E48D2">
      <w:pPr>
        <w:pStyle w:val="19"/>
        <w:ind w:left="0" w:leftChars="0" w:firstLine="712" w:firstLineChars="200"/>
      </w:pPr>
      <w:r>
        <w:t>二、评审组织与评审方法</w:t>
      </w:r>
    </w:p>
    <w:p w14:paraId="628ECA98">
      <w:pPr>
        <w:pStyle w:val="17"/>
      </w:pPr>
      <w:r>
        <w:t>本项目依法组建竞争性磋商小组，磋商小组依照政府采购有关规定及本项目特点独立履行评审职责。本项目采用综合评分法，综合评分由商务部分、技术部分和价格部分三部分构成，总分100分。</w:t>
      </w:r>
    </w:p>
    <w:p w14:paraId="7EB0AEFB">
      <w:pPr>
        <w:pStyle w:val="21"/>
      </w:pPr>
      <w:r>
        <w:t>（一）商务部分（15分）</w:t>
      </w:r>
    </w:p>
    <w:p w14:paraId="7FD5B036">
      <w:pPr>
        <w:pStyle w:val="17"/>
      </w:pPr>
      <w:r>
        <w:t>1.项目业绩（10分）：2023年1月1日至响应截止之日（以合同签订时间为准）同类项目（食堂承包或餐饮服务类）业绩，每有1个得5分，最多得10分；同一单位业绩仅计算一次得分。</w:t>
      </w:r>
    </w:p>
    <w:p w14:paraId="21A23DE1">
      <w:pPr>
        <w:pStyle w:val="17"/>
      </w:pPr>
      <w:r>
        <w:t>2.企业资质与信誉（5分）：供应商具有有效营业执照，且经营范围涵盖餐饮服务或餐饮管理相关内容的，得5分。</w:t>
      </w:r>
    </w:p>
    <w:p w14:paraId="455C64DB">
      <w:pPr>
        <w:pStyle w:val="21"/>
      </w:pPr>
      <w:r>
        <w:t>（二）技术部分（70分）</w:t>
      </w:r>
    </w:p>
    <w:p w14:paraId="0307A936">
      <w:pPr>
        <w:pStyle w:val="17"/>
      </w:pPr>
      <w:r>
        <w:t>对响应人提供的日常餐饮服务方案、食品安全及卫生保障方案、安全生产方案、营养健康方案、员工管理方案、库房管理方案、成本核算方案、紧急事件预案措施及风味档口运营方案等要素，按完整性和针对性进行评审。标段二评审时将风味档口运营方案（满分10分）纳入技术部分专项评分，技术部分合计满分70分。</w:t>
      </w:r>
    </w:p>
    <w:p w14:paraId="55572BFC">
      <w:pPr>
        <w:pStyle w:val="21"/>
      </w:pPr>
      <w:r>
        <w:t>（三）价格部分（15分）</w:t>
      </w:r>
    </w:p>
    <w:p w14:paraId="65A719B3">
      <w:pPr>
        <w:pStyle w:val="17"/>
      </w:pPr>
      <w:r>
        <w:t>满足磋商文件要求且最后报价最低的供应商价格为评审基准价，价格得分为满分；其他供应商价格得分＝评审基准价/响应人报价×15。</w:t>
      </w:r>
    </w:p>
    <w:p w14:paraId="3899A857">
      <w:pPr>
        <w:pStyle w:val="19"/>
      </w:pPr>
      <w:r>
        <w:t>三、资格审查与符合性审查结论</w:t>
      </w:r>
    </w:p>
    <w:p w14:paraId="0E755C51">
      <w:pPr>
        <w:pStyle w:val="17"/>
      </w:pPr>
      <w:r>
        <w:t>经磋商小组对三家供应商响应文件的资格性检查与符合性审查，三家供应商的营业执照、资格声明书、信用记录、授权委托书、响应有效期、实质性格式及响应报价均符合磋商文件要求，未出现可选择性或可调整报价，均通过审查，进入详细评审。审查结论如下：</w:t>
      </w:r>
    </w:p>
    <w:tbl>
      <w:tblPr>
        <w:tblStyle w:val="9"/>
        <w:tblW w:w="0" w:type="auto"/>
        <w:jc w:val="center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5"/>
        <w:gridCol w:w="2075"/>
      </w:tblGrid>
      <w:tr w14:paraId="3A33224D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8" w:type="dxa"/>
            <w:shd w:val="clear" w:color="auto" w:fill="D9E2F3"/>
          </w:tcPr>
          <w:p w14:paraId="1A6943FD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审查项目</w:t>
            </w:r>
          </w:p>
        </w:tc>
        <w:tc>
          <w:tcPr>
            <w:tcW w:w="2078" w:type="dxa"/>
            <w:shd w:val="clear" w:color="auto" w:fill="D9E2F3"/>
          </w:tcPr>
          <w:p w14:paraId="7DCBA5CA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福州马尾忆佳膳餐饮管理有限公司</w:t>
            </w:r>
          </w:p>
        </w:tc>
        <w:tc>
          <w:tcPr>
            <w:tcW w:w="2078" w:type="dxa"/>
            <w:shd w:val="clear" w:color="auto" w:fill="D9E2F3"/>
          </w:tcPr>
          <w:p w14:paraId="10EF820E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福州兴世达后勤服务有限公司</w:t>
            </w:r>
          </w:p>
        </w:tc>
        <w:tc>
          <w:tcPr>
            <w:tcW w:w="2078" w:type="dxa"/>
            <w:shd w:val="clear" w:color="auto" w:fill="D9E2F3"/>
          </w:tcPr>
          <w:p w14:paraId="5F1CE86B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福州市长乐区多双筷子餐饮管理有限公司</w:t>
            </w:r>
          </w:p>
        </w:tc>
      </w:tr>
      <w:tr w14:paraId="6E3EC8DA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8" w:type="dxa"/>
          </w:tcPr>
          <w:p w14:paraId="7DAE9D2D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资格性检查</w:t>
            </w:r>
          </w:p>
        </w:tc>
        <w:tc>
          <w:tcPr>
            <w:tcW w:w="2078" w:type="dxa"/>
          </w:tcPr>
          <w:p w14:paraId="42D7F46B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通过</w:t>
            </w:r>
          </w:p>
        </w:tc>
        <w:tc>
          <w:tcPr>
            <w:tcW w:w="2078" w:type="dxa"/>
          </w:tcPr>
          <w:p w14:paraId="196CCD66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通过</w:t>
            </w:r>
          </w:p>
        </w:tc>
        <w:tc>
          <w:tcPr>
            <w:tcW w:w="2078" w:type="dxa"/>
          </w:tcPr>
          <w:p w14:paraId="6D42688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通过</w:t>
            </w:r>
          </w:p>
        </w:tc>
      </w:tr>
      <w:tr w14:paraId="09AAE788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8" w:type="dxa"/>
          </w:tcPr>
          <w:p w14:paraId="2028DDA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符合性审查</w:t>
            </w:r>
          </w:p>
        </w:tc>
        <w:tc>
          <w:tcPr>
            <w:tcW w:w="2078" w:type="dxa"/>
          </w:tcPr>
          <w:p w14:paraId="4412BA7E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通过</w:t>
            </w:r>
          </w:p>
        </w:tc>
        <w:tc>
          <w:tcPr>
            <w:tcW w:w="2078" w:type="dxa"/>
          </w:tcPr>
          <w:p w14:paraId="1E6578FE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通过</w:t>
            </w:r>
          </w:p>
        </w:tc>
        <w:tc>
          <w:tcPr>
            <w:tcW w:w="2078" w:type="dxa"/>
          </w:tcPr>
          <w:p w14:paraId="35FC3CC7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通过</w:t>
            </w:r>
          </w:p>
        </w:tc>
      </w:tr>
      <w:tr w14:paraId="33ACF79F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8" w:type="dxa"/>
          </w:tcPr>
          <w:p w14:paraId="6B31C588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是否进入详细评审</w:t>
            </w:r>
          </w:p>
        </w:tc>
        <w:tc>
          <w:tcPr>
            <w:tcW w:w="2078" w:type="dxa"/>
          </w:tcPr>
          <w:p w14:paraId="59C82AF4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是</w:t>
            </w:r>
          </w:p>
        </w:tc>
        <w:tc>
          <w:tcPr>
            <w:tcW w:w="2078" w:type="dxa"/>
          </w:tcPr>
          <w:p w14:paraId="7D4FCF5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是</w:t>
            </w:r>
          </w:p>
        </w:tc>
        <w:tc>
          <w:tcPr>
            <w:tcW w:w="2078" w:type="dxa"/>
          </w:tcPr>
          <w:p w14:paraId="1FD0545F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是</w:t>
            </w:r>
          </w:p>
        </w:tc>
      </w:tr>
    </w:tbl>
    <w:p w14:paraId="57A01398">
      <w:pPr>
        <w:pStyle w:val="19"/>
        <w:ind w:left="0" w:leftChars="0" w:firstLine="712" w:firstLineChars="200"/>
      </w:pPr>
      <w:r>
        <w:t>四、响应报价及价格得分</w:t>
      </w:r>
    </w:p>
    <w:p w14:paraId="20D8CEE3">
      <w:pPr>
        <w:pStyle w:val="17"/>
      </w:pPr>
      <w:r>
        <w:t>三家供应商响应报价如下，评审基准价为最低报价 3,779,399.50 元/年。</w:t>
      </w:r>
    </w:p>
    <w:tbl>
      <w:tblPr>
        <w:tblStyle w:val="9"/>
        <w:tblW w:w="0" w:type="auto"/>
        <w:jc w:val="center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2"/>
        <w:gridCol w:w="1858"/>
        <w:gridCol w:w="2351"/>
        <w:gridCol w:w="1797"/>
      </w:tblGrid>
      <w:tr w14:paraId="31755223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7" w:type="dxa"/>
            <w:shd w:val="clear" w:color="auto" w:fill="D9E2F3"/>
          </w:tcPr>
          <w:p w14:paraId="76610645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供应商名称</w:t>
            </w:r>
          </w:p>
        </w:tc>
        <w:tc>
          <w:tcPr>
            <w:tcW w:w="1859" w:type="dxa"/>
            <w:shd w:val="clear" w:color="auto" w:fill="D9E2F3"/>
          </w:tcPr>
          <w:p w14:paraId="0F541B8C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年度报价(元/年)</w:t>
            </w:r>
          </w:p>
        </w:tc>
        <w:tc>
          <w:tcPr>
            <w:tcW w:w="2356" w:type="dxa"/>
            <w:shd w:val="clear" w:color="auto" w:fill="D9E2F3"/>
          </w:tcPr>
          <w:p w14:paraId="5139F826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价格得分公式</w:t>
            </w:r>
          </w:p>
        </w:tc>
        <w:tc>
          <w:tcPr>
            <w:tcW w:w="1800" w:type="dxa"/>
            <w:shd w:val="clear" w:color="auto" w:fill="D9E2F3"/>
          </w:tcPr>
          <w:p w14:paraId="317A294A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价格得分(15分)</w:t>
            </w:r>
          </w:p>
        </w:tc>
      </w:tr>
      <w:tr w14:paraId="0C675260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7" w:type="dxa"/>
          </w:tcPr>
          <w:p w14:paraId="3E41A66A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福州马尾忆佳膳餐饮管理有限公司</w:t>
            </w:r>
          </w:p>
        </w:tc>
        <w:tc>
          <w:tcPr>
            <w:tcW w:w="1859" w:type="dxa"/>
          </w:tcPr>
          <w:p w14:paraId="024407A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3,779,399.50</w:t>
            </w:r>
          </w:p>
        </w:tc>
        <w:tc>
          <w:tcPr>
            <w:tcW w:w="2356" w:type="dxa"/>
          </w:tcPr>
          <w:p w14:paraId="4EA73445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基准价/报价×15</w:t>
            </w:r>
          </w:p>
        </w:tc>
        <w:tc>
          <w:tcPr>
            <w:tcW w:w="1800" w:type="dxa"/>
          </w:tcPr>
          <w:p w14:paraId="3B53560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15.00</w:t>
            </w:r>
          </w:p>
        </w:tc>
      </w:tr>
      <w:tr w14:paraId="2629C066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7" w:type="dxa"/>
          </w:tcPr>
          <w:p w14:paraId="30AE0725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福州兴世达后勤服务有限公司</w:t>
            </w:r>
          </w:p>
        </w:tc>
        <w:tc>
          <w:tcPr>
            <w:tcW w:w="1859" w:type="dxa"/>
          </w:tcPr>
          <w:p w14:paraId="538708F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3,779,500.00</w:t>
            </w:r>
          </w:p>
        </w:tc>
        <w:tc>
          <w:tcPr>
            <w:tcW w:w="2356" w:type="dxa"/>
          </w:tcPr>
          <w:p w14:paraId="3D11ADFD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基准价/报价×15</w:t>
            </w:r>
          </w:p>
        </w:tc>
        <w:tc>
          <w:tcPr>
            <w:tcW w:w="1800" w:type="dxa"/>
          </w:tcPr>
          <w:p w14:paraId="3257132A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15.00</w:t>
            </w:r>
          </w:p>
        </w:tc>
      </w:tr>
      <w:tr w14:paraId="0D23DFF4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7" w:type="dxa"/>
          </w:tcPr>
          <w:p w14:paraId="3FE32BDB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福州市长乐区多双筷子餐饮管理有限公司</w:t>
            </w:r>
          </w:p>
        </w:tc>
        <w:tc>
          <w:tcPr>
            <w:tcW w:w="1859" w:type="dxa"/>
          </w:tcPr>
          <w:p w14:paraId="63EFD726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3,780,880.50</w:t>
            </w:r>
          </w:p>
        </w:tc>
        <w:tc>
          <w:tcPr>
            <w:tcW w:w="2356" w:type="dxa"/>
          </w:tcPr>
          <w:p w14:paraId="06FD648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基准价/报价×15</w:t>
            </w:r>
          </w:p>
        </w:tc>
        <w:tc>
          <w:tcPr>
            <w:tcW w:w="1800" w:type="dxa"/>
          </w:tcPr>
          <w:p w14:paraId="1B9821F9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14.99</w:t>
            </w:r>
          </w:p>
        </w:tc>
      </w:tr>
    </w:tbl>
    <w:p w14:paraId="66F2BA53"/>
    <w:p w14:paraId="060E103F">
      <w:pPr>
        <w:pStyle w:val="19"/>
      </w:pPr>
      <w:r>
        <w:t>五、综合评分明细</w:t>
      </w:r>
    </w:p>
    <w:tbl>
      <w:tblPr>
        <w:tblStyle w:val="9"/>
        <w:tblW w:w="0" w:type="auto"/>
        <w:jc w:val="center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659"/>
        <w:gridCol w:w="1660"/>
        <w:gridCol w:w="1660"/>
        <w:gridCol w:w="1660"/>
      </w:tblGrid>
      <w:tr w14:paraId="4DE6890D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  <w:shd w:val="clear" w:color="auto" w:fill="D9E2F3"/>
          </w:tcPr>
          <w:p w14:paraId="6A4BBEEA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评审因素</w:t>
            </w:r>
          </w:p>
        </w:tc>
        <w:tc>
          <w:tcPr>
            <w:tcW w:w="1662" w:type="dxa"/>
            <w:shd w:val="clear" w:color="auto" w:fill="D9E2F3"/>
          </w:tcPr>
          <w:p w14:paraId="35EDAC7D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分值</w:t>
            </w:r>
          </w:p>
        </w:tc>
        <w:tc>
          <w:tcPr>
            <w:tcW w:w="1662" w:type="dxa"/>
            <w:shd w:val="clear" w:color="auto" w:fill="D9E2F3"/>
            <w:vAlign w:val="top"/>
          </w:tcPr>
          <w:p w14:paraId="4035BFEC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福州马尾忆佳膳餐饮管理有限公司</w:t>
            </w:r>
          </w:p>
        </w:tc>
        <w:tc>
          <w:tcPr>
            <w:tcW w:w="1662" w:type="dxa"/>
            <w:shd w:val="clear" w:color="auto" w:fill="D9E2F3"/>
            <w:vAlign w:val="top"/>
          </w:tcPr>
          <w:p w14:paraId="7F87FD3E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福州兴世达后勤服务有限公司</w:t>
            </w:r>
          </w:p>
        </w:tc>
        <w:tc>
          <w:tcPr>
            <w:tcW w:w="1662" w:type="dxa"/>
            <w:shd w:val="clear" w:color="auto" w:fill="D9E2F3"/>
            <w:vAlign w:val="top"/>
          </w:tcPr>
          <w:p w14:paraId="70585ED0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福州市长乐区多双筷子餐饮管理有限公司</w:t>
            </w:r>
          </w:p>
        </w:tc>
      </w:tr>
      <w:tr w14:paraId="15CEA676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0" w:type="dxa"/>
            <w:gridSpan w:val="5"/>
            <w:shd w:val="clear" w:color="auto" w:fill="EDEDED"/>
          </w:tcPr>
          <w:p w14:paraId="3DA4A413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商务部分（满分15分）</w:t>
            </w:r>
          </w:p>
        </w:tc>
      </w:tr>
      <w:tr w14:paraId="4AD6ACB0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2D3AB9BC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1.项目业绩</w:t>
            </w:r>
          </w:p>
        </w:tc>
        <w:tc>
          <w:tcPr>
            <w:tcW w:w="1662" w:type="dxa"/>
          </w:tcPr>
          <w:p w14:paraId="60C67E59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10</w:t>
            </w:r>
          </w:p>
        </w:tc>
        <w:tc>
          <w:tcPr>
            <w:tcW w:w="1662" w:type="dxa"/>
          </w:tcPr>
          <w:p w14:paraId="7DD58AE6">
            <w:pPr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0</w:t>
            </w:r>
          </w:p>
        </w:tc>
        <w:tc>
          <w:tcPr>
            <w:tcW w:w="1662" w:type="dxa"/>
          </w:tcPr>
          <w:p w14:paraId="5C86AB81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0</w:t>
            </w:r>
          </w:p>
        </w:tc>
        <w:tc>
          <w:tcPr>
            <w:tcW w:w="1662" w:type="dxa"/>
          </w:tcPr>
          <w:p w14:paraId="6CB31F43">
            <w:pPr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0</w:t>
            </w:r>
          </w:p>
        </w:tc>
      </w:tr>
      <w:tr w14:paraId="66501E39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7F50D4C6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2.企业资质与信誉</w:t>
            </w:r>
          </w:p>
        </w:tc>
        <w:tc>
          <w:tcPr>
            <w:tcW w:w="1662" w:type="dxa"/>
          </w:tcPr>
          <w:p w14:paraId="66C256A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  <w:tc>
          <w:tcPr>
            <w:tcW w:w="1662" w:type="dxa"/>
          </w:tcPr>
          <w:p w14:paraId="5A8E26A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  <w:tc>
          <w:tcPr>
            <w:tcW w:w="1662" w:type="dxa"/>
          </w:tcPr>
          <w:p w14:paraId="1D4ECAF9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  <w:tc>
          <w:tcPr>
            <w:tcW w:w="1662" w:type="dxa"/>
          </w:tcPr>
          <w:p w14:paraId="26D32639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</w:tr>
      <w:tr w14:paraId="2F9AF28D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  <w:shd w:val="clear" w:color="auto" w:fill="F2F2F2"/>
          </w:tcPr>
          <w:p w14:paraId="0223EB9E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商务部分小计</w:t>
            </w:r>
          </w:p>
        </w:tc>
        <w:tc>
          <w:tcPr>
            <w:tcW w:w="1662" w:type="dxa"/>
            <w:shd w:val="clear" w:color="auto" w:fill="F2F2F2"/>
          </w:tcPr>
          <w:p w14:paraId="407A3C9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15</w:t>
            </w:r>
          </w:p>
        </w:tc>
        <w:tc>
          <w:tcPr>
            <w:tcW w:w="1662" w:type="dxa"/>
            <w:shd w:val="clear" w:color="auto" w:fill="F2F2F2"/>
          </w:tcPr>
          <w:p w14:paraId="6C226011">
            <w:pPr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5</w:t>
            </w:r>
          </w:p>
        </w:tc>
        <w:tc>
          <w:tcPr>
            <w:tcW w:w="1662" w:type="dxa"/>
            <w:shd w:val="clear" w:color="auto" w:fill="F2F2F2"/>
          </w:tcPr>
          <w:p w14:paraId="38362300">
            <w:pPr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5</w:t>
            </w:r>
          </w:p>
        </w:tc>
        <w:tc>
          <w:tcPr>
            <w:tcW w:w="1662" w:type="dxa"/>
            <w:shd w:val="clear" w:color="auto" w:fill="F2F2F2"/>
          </w:tcPr>
          <w:p w14:paraId="220F9FCD">
            <w:pPr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5</w:t>
            </w:r>
          </w:p>
        </w:tc>
      </w:tr>
      <w:tr w14:paraId="377D585C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0" w:type="dxa"/>
            <w:gridSpan w:val="5"/>
            <w:shd w:val="clear" w:color="auto" w:fill="EDEDED"/>
          </w:tcPr>
          <w:p w14:paraId="2FC88F74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技术部分（满分70分，标段二）</w:t>
            </w:r>
          </w:p>
        </w:tc>
      </w:tr>
      <w:tr w14:paraId="23204CCE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62B57AB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1.日常餐饮服务方案</w:t>
            </w:r>
          </w:p>
        </w:tc>
        <w:tc>
          <w:tcPr>
            <w:tcW w:w="1662" w:type="dxa"/>
          </w:tcPr>
          <w:p w14:paraId="05CCBAD9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</w:t>
            </w:r>
          </w:p>
        </w:tc>
        <w:tc>
          <w:tcPr>
            <w:tcW w:w="1662" w:type="dxa"/>
          </w:tcPr>
          <w:p w14:paraId="7B924C72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7.50</w:t>
            </w:r>
          </w:p>
        </w:tc>
        <w:tc>
          <w:tcPr>
            <w:tcW w:w="1662" w:type="dxa"/>
          </w:tcPr>
          <w:p w14:paraId="74860B6F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7.00</w:t>
            </w:r>
          </w:p>
        </w:tc>
        <w:tc>
          <w:tcPr>
            <w:tcW w:w="1662" w:type="dxa"/>
          </w:tcPr>
          <w:p w14:paraId="432BB63F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6.50</w:t>
            </w:r>
          </w:p>
        </w:tc>
      </w:tr>
      <w:tr w14:paraId="384E6E48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7F8B4947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2.食品安全及卫生保障方案</w:t>
            </w:r>
          </w:p>
        </w:tc>
        <w:tc>
          <w:tcPr>
            <w:tcW w:w="1662" w:type="dxa"/>
          </w:tcPr>
          <w:p w14:paraId="2F044D7D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10</w:t>
            </w:r>
          </w:p>
        </w:tc>
        <w:tc>
          <w:tcPr>
            <w:tcW w:w="1662" w:type="dxa"/>
          </w:tcPr>
          <w:p w14:paraId="10E5A665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9.00</w:t>
            </w:r>
          </w:p>
        </w:tc>
        <w:tc>
          <w:tcPr>
            <w:tcW w:w="1662" w:type="dxa"/>
          </w:tcPr>
          <w:p w14:paraId="26C6AA65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9.00</w:t>
            </w:r>
          </w:p>
        </w:tc>
        <w:tc>
          <w:tcPr>
            <w:tcW w:w="1662" w:type="dxa"/>
          </w:tcPr>
          <w:p w14:paraId="5313DAB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8.00</w:t>
            </w:r>
          </w:p>
        </w:tc>
      </w:tr>
      <w:tr w14:paraId="340AA708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3483A0FD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3.安全生产方案</w:t>
            </w:r>
          </w:p>
        </w:tc>
        <w:tc>
          <w:tcPr>
            <w:tcW w:w="1662" w:type="dxa"/>
          </w:tcPr>
          <w:p w14:paraId="02D1E4F0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</w:t>
            </w:r>
          </w:p>
        </w:tc>
        <w:tc>
          <w:tcPr>
            <w:tcW w:w="1662" w:type="dxa"/>
          </w:tcPr>
          <w:p w14:paraId="6011C469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5.50</w:t>
            </w:r>
          </w:p>
        </w:tc>
        <w:tc>
          <w:tcPr>
            <w:tcW w:w="1662" w:type="dxa"/>
          </w:tcPr>
          <w:p w14:paraId="50FA568C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5.50</w:t>
            </w:r>
          </w:p>
        </w:tc>
        <w:tc>
          <w:tcPr>
            <w:tcW w:w="1662" w:type="dxa"/>
          </w:tcPr>
          <w:p w14:paraId="7185D5D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5.00</w:t>
            </w:r>
          </w:p>
        </w:tc>
      </w:tr>
      <w:tr w14:paraId="3873842B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241BD8A6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4.营养健康方案</w:t>
            </w:r>
          </w:p>
        </w:tc>
        <w:tc>
          <w:tcPr>
            <w:tcW w:w="1662" w:type="dxa"/>
          </w:tcPr>
          <w:p w14:paraId="2989668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</w:t>
            </w:r>
          </w:p>
        </w:tc>
        <w:tc>
          <w:tcPr>
            <w:tcW w:w="1662" w:type="dxa"/>
          </w:tcPr>
          <w:p w14:paraId="0A40208C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5.50</w:t>
            </w:r>
          </w:p>
        </w:tc>
        <w:tc>
          <w:tcPr>
            <w:tcW w:w="1662" w:type="dxa"/>
          </w:tcPr>
          <w:p w14:paraId="7741C52E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5.50</w:t>
            </w:r>
          </w:p>
        </w:tc>
        <w:tc>
          <w:tcPr>
            <w:tcW w:w="1662" w:type="dxa"/>
          </w:tcPr>
          <w:p w14:paraId="1D855CB2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5.00</w:t>
            </w:r>
          </w:p>
        </w:tc>
      </w:tr>
      <w:tr w14:paraId="318A30B6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221225BA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5.员工管理方案</w:t>
            </w:r>
          </w:p>
        </w:tc>
        <w:tc>
          <w:tcPr>
            <w:tcW w:w="1662" w:type="dxa"/>
          </w:tcPr>
          <w:p w14:paraId="0E650A33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10</w:t>
            </w:r>
          </w:p>
        </w:tc>
        <w:tc>
          <w:tcPr>
            <w:tcW w:w="1662" w:type="dxa"/>
          </w:tcPr>
          <w:p w14:paraId="21A7FDA2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9.00</w:t>
            </w:r>
          </w:p>
        </w:tc>
        <w:tc>
          <w:tcPr>
            <w:tcW w:w="1662" w:type="dxa"/>
          </w:tcPr>
          <w:p w14:paraId="5A68E5ED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9.00</w:t>
            </w:r>
          </w:p>
        </w:tc>
        <w:tc>
          <w:tcPr>
            <w:tcW w:w="1662" w:type="dxa"/>
          </w:tcPr>
          <w:p w14:paraId="6EB00270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9.00</w:t>
            </w:r>
          </w:p>
        </w:tc>
      </w:tr>
      <w:tr w14:paraId="64BF41BE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2811F0BF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6.库房管理方案</w:t>
            </w:r>
          </w:p>
        </w:tc>
        <w:tc>
          <w:tcPr>
            <w:tcW w:w="1662" w:type="dxa"/>
          </w:tcPr>
          <w:p w14:paraId="16E5CF7F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</w:t>
            </w:r>
          </w:p>
        </w:tc>
        <w:tc>
          <w:tcPr>
            <w:tcW w:w="1662" w:type="dxa"/>
          </w:tcPr>
          <w:p w14:paraId="311C6FC2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5.50</w:t>
            </w:r>
          </w:p>
        </w:tc>
        <w:tc>
          <w:tcPr>
            <w:tcW w:w="1662" w:type="dxa"/>
          </w:tcPr>
          <w:p w14:paraId="34A64FC6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5.00</w:t>
            </w:r>
          </w:p>
        </w:tc>
        <w:tc>
          <w:tcPr>
            <w:tcW w:w="1662" w:type="dxa"/>
          </w:tcPr>
          <w:p w14:paraId="3603B256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5.00</w:t>
            </w:r>
          </w:p>
        </w:tc>
      </w:tr>
      <w:tr w14:paraId="1B04084D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752B4861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7.成本核算方案</w:t>
            </w:r>
          </w:p>
        </w:tc>
        <w:tc>
          <w:tcPr>
            <w:tcW w:w="1662" w:type="dxa"/>
          </w:tcPr>
          <w:p w14:paraId="476F90FA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</w:t>
            </w:r>
          </w:p>
        </w:tc>
        <w:tc>
          <w:tcPr>
            <w:tcW w:w="1662" w:type="dxa"/>
          </w:tcPr>
          <w:p w14:paraId="036E7404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5.50</w:t>
            </w:r>
          </w:p>
        </w:tc>
        <w:tc>
          <w:tcPr>
            <w:tcW w:w="1662" w:type="dxa"/>
          </w:tcPr>
          <w:p w14:paraId="227C1005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5.00</w:t>
            </w:r>
          </w:p>
        </w:tc>
        <w:tc>
          <w:tcPr>
            <w:tcW w:w="1662" w:type="dxa"/>
          </w:tcPr>
          <w:p w14:paraId="0838F0B7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5.00</w:t>
            </w:r>
          </w:p>
        </w:tc>
      </w:tr>
      <w:tr w14:paraId="069CE7AD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2E0254F3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8.紧急事件预案措施</w:t>
            </w:r>
          </w:p>
        </w:tc>
        <w:tc>
          <w:tcPr>
            <w:tcW w:w="1662" w:type="dxa"/>
          </w:tcPr>
          <w:p w14:paraId="28E99707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</w:t>
            </w:r>
          </w:p>
        </w:tc>
        <w:tc>
          <w:tcPr>
            <w:tcW w:w="1662" w:type="dxa"/>
          </w:tcPr>
          <w:p w14:paraId="2D37E770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7.00</w:t>
            </w:r>
          </w:p>
        </w:tc>
        <w:tc>
          <w:tcPr>
            <w:tcW w:w="1662" w:type="dxa"/>
          </w:tcPr>
          <w:p w14:paraId="3CCA56CC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7.00</w:t>
            </w:r>
          </w:p>
        </w:tc>
        <w:tc>
          <w:tcPr>
            <w:tcW w:w="1662" w:type="dxa"/>
          </w:tcPr>
          <w:p w14:paraId="25FF04BC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7.00</w:t>
            </w:r>
          </w:p>
        </w:tc>
      </w:tr>
      <w:tr w14:paraId="2B554073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02F67CA4"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9.风味档口运营方案（标段二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)</w:t>
            </w:r>
          </w:p>
        </w:tc>
        <w:tc>
          <w:tcPr>
            <w:tcW w:w="1662" w:type="dxa"/>
          </w:tcPr>
          <w:p w14:paraId="16025DF4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10</w:t>
            </w:r>
          </w:p>
        </w:tc>
        <w:tc>
          <w:tcPr>
            <w:tcW w:w="1662" w:type="dxa"/>
          </w:tcPr>
          <w:p w14:paraId="7E009480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8.50</w:t>
            </w:r>
          </w:p>
        </w:tc>
        <w:tc>
          <w:tcPr>
            <w:tcW w:w="1662" w:type="dxa"/>
          </w:tcPr>
          <w:p w14:paraId="0D03EA15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8.50</w:t>
            </w:r>
          </w:p>
        </w:tc>
        <w:tc>
          <w:tcPr>
            <w:tcW w:w="1662" w:type="dxa"/>
          </w:tcPr>
          <w:p w14:paraId="6EC3328C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7.50</w:t>
            </w:r>
          </w:p>
        </w:tc>
      </w:tr>
      <w:tr w14:paraId="338508AB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  <w:shd w:val="clear" w:color="auto" w:fill="F2F2F2"/>
          </w:tcPr>
          <w:p w14:paraId="690CE967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技术部分小计</w:t>
            </w:r>
          </w:p>
        </w:tc>
        <w:tc>
          <w:tcPr>
            <w:tcW w:w="1662" w:type="dxa"/>
            <w:shd w:val="clear" w:color="auto" w:fill="F2F2F2"/>
          </w:tcPr>
          <w:p w14:paraId="451EF0C8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70</w:t>
            </w:r>
          </w:p>
        </w:tc>
        <w:tc>
          <w:tcPr>
            <w:tcW w:w="1662" w:type="dxa"/>
            <w:shd w:val="clear" w:color="auto" w:fill="F2F2F2"/>
          </w:tcPr>
          <w:p w14:paraId="07CEF97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63.00</w:t>
            </w:r>
          </w:p>
        </w:tc>
        <w:tc>
          <w:tcPr>
            <w:tcW w:w="1662" w:type="dxa"/>
            <w:shd w:val="clear" w:color="auto" w:fill="F2F2F2"/>
          </w:tcPr>
          <w:p w14:paraId="7FBA1A56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61.50</w:t>
            </w:r>
          </w:p>
        </w:tc>
        <w:tc>
          <w:tcPr>
            <w:tcW w:w="1662" w:type="dxa"/>
            <w:shd w:val="clear" w:color="auto" w:fill="F2F2F2"/>
          </w:tcPr>
          <w:p w14:paraId="00400EDA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58.00</w:t>
            </w:r>
          </w:p>
        </w:tc>
      </w:tr>
      <w:tr w14:paraId="6D140A7E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0" w:type="dxa"/>
            <w:gridSpan w:val="5"/>
            <w:shd w:val="clear" w:color="auto" w:fill="EDEDED"/>
          </w:tcPr>
          <w:p w14:paraId="459E0CB4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价格部分（满分15分）</w:t>
            </w:r>
          </w:p>
        </w:tc>
      </w:tr>
      <w:tr w14:paraId="328ACC4A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25D4F686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1.价格得分</w:t>
            </w:r>
          </w:p>
        </w:tc>
        <w:tc>
          <w:tcPr>
            <w:tcW w:w="1662" w:type="dxa"/>
          </w:tcPr>
          <w:p w14:paraId="2376E1FA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15</w:t>
            </w:r>
          </w:p>
        </w:tc>
        <w:tc>
          <w:tcPr>
            <w:tcW w:w="1662" w:type="dxa"/>
          </w:tcPr>
          <w:p w14:paraId="1CAE8B01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15.00</w:t>
            </w:r>
          </w:p>
        </w:tc>
        <w:tc>
          <w:tcPr>
            <w:tcW w:w="1662" w:type="dxa"/>
          </w:tcPr>
          <w:p w14:paraId="05A21592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15.00</w:t>
            </w:r>
          </w:p>
        </w:tc>
        <w:tc>
          <w:tcPr>
            <w:tcW w:w="1662" w:type="dxa"/>
          </w:tcPr>
          <w:p w14:paraId="5664D057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14.99</w:t>
            </w:r>
          </w:p>
        </w:tc>
      </w:tr>
      <w:tr w14:paraId="7D7BC15E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  <w:shd w:val="clear" w:color="auto" w:fill="F2F2F2"/>
          </w:tcPr>
          <w:p w14:paraId="4BCA37A6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价格部分小计</w:t>
            </w:r>
          </w:p>
        </w:tc>
        <w:tc>
          <w:tcPr>
            <w:tcW w:w="1662" w:type="dxa"/>
            <w:shd w:val="clear" w:color="auto" w:fill="F2F2F2"/>
          </w:tcPr>
          <w:p w14:paraId="1848BA84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15</w:t>
            </w:r>
          </w:p>
        </w:tc>
        <w:tc>
          <w:tcPr>
            <w:tcW w:w="1662" w:type="dxa"/>
            <w:shd w:val="clear" w:color="auto" w:fill="F2F2F2"/>
          </w:tcPr>
          <w:p w14:paraId="2C5DFC0D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15.00</w:t>
            </w:r>
          </w:p>
        </w:tc>
        <w:tc>
          <w:tcPr>
            <w:tcW w:w="1662" w:type="dxa"/>
            <w:shd w:val="clear" w:color="auto" w:fill="F2F2F2"/>
          </w:tcPr>
          <w:p w14:paraId="53E4C11E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15.00</w:t>
            </w:r>
          </w:p>
        </w:tc>
        <w:tc>
          <w:tcPr>
            <w:tcW w:w="1662" w:type="dxa"/>
            <w:shd w:val="clear" w:color="auto" w:fill="F2F2F2"/>
          </w:tcPr>
          <w:p w14:paraId="16A073D1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14.99</w:t>
            </w:r>
          </w:p>
        </w:tc>
      </w:tr>
      <w:tr w14:paraId="0DABF8E5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  <w:shd w:val="clear" w:color="auto" w:fill="FFE699"/>
          </w:tcPr>
          <w:p w14:paraId="716EF986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综合得分合计</w:t>
            </w:r>
          </w:p>
        </w:tc>
        <w:tc>
          <w:tcPr>
            <w:tcW w:w="1662" w:type="dxa"/>
            <w:shd w:val="clear" w:color="auto" w:fill="FFE699"/>
          </w:tcPr>
          <w:p w14:paraId="6E2A651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100</w:t>
            </w:r>
          </w:p>
        </w:tc>
        <w:tc>
          <w:tcPr>
            <w:tcW w:w="1662" w:type="dxa"/>
            <w:shd w:val="clear" w:color="auto" w:fill="FFE699"/>
          </w:tcPr>
          <w:p w14:paraId="3B683698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8</w:t>
            </w: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3</w:t>
            </w:r>
            <w:r>
              <w:rPr>
                <w:rFonts w:ascii="宋体" w:hAnsi="宋体" w:eastAsia="宋体"/>
                <w:b/>
                <w:sz w:val="21"/>
              </w:rPr>
              <w:t>.00</w:t>
            </w:r>
          </w:p>
        </w:tc>
        <w:tc>
          <w:tcPr>
            <w:tcW w:w="1662" w:type="dxa"/>
            <w:shd w:val="clear" w:color="auto" w:fill="FFE699"/>
          </w:tcPr>
          <w:p w14:paraId="6396BE3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8</w:t>
            </w: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1</w:t>
            </w:r>
            <w:r>
              <w:rPr>
                <w:rFonts w:ascii="宋体" w:hAnsi="宋体" w:eastAsia="宋体"/>
                <w:b/>
                <w:sz w:val="21"/>
              </w:rPr>
              <w:t>.50</w:t>
            </w:r>
          </w:p>
        </w:tc>
        <w:tc>
          <w:tcPr>
            <w:tcW w:w="1662" w:type="dxa"/>
            <w:shd w:val="clear" w:color="auto" w:fill="FFE699"/>
          </w:tcPr>
          <w:p w14:paraId="6CAA80BE">
            <w:pPr>
              <w:jc w:val="center"/>
            </w:pPr>
            <w:r>
              <w:rPr>
                <w:rFonts w:hint="eastAsia" w:ascii="宋体" w:hAnsi="宋体" w:eastAsia="宋体"/>
                <w:b/>
                <w:sz w:val="21"/>
                <w:lang w:val="en-US" w:eastAsia="zh-CN"/>
              </w:rPr>
              <w:t>77.99</w:t>
            </w:r>
          </w:p>
        </w:tc>
      </w:tr>
    </w:tbl>
    <w:p w14:paraId="113D398B">
      <w:pPr>
        <w:pStyle w:val="19"/>
        <w:ind w:left="0" w:leftChars="0" w:firstLine="712" w:firstLineChars="200"/>
      </w:pPr>
      <w:r>
        <w:t>六、成交候选人推荐排序</w:t>
      </w:r>
    </w:p>
    <w:p w14:paraId="5B322CE7">
      <w:pPr>
        <w:pStyle w:val="17"/>
      </w:pPr>
      <w:r>
        <w:t>磋商小组按综合得分由高到低顺序推荐成交候选人，排序如下：</w:t>
      </w:r>
    </w:p>
    <w:tbl>
      <w:tblPr>
        <w:tblStyle w:val="9"/>
        <w:tblW w:w="0" w:type="auto"/>
        <w:jc w:val="center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3952"/>
        <w:gridCol w:w="1064"/>
        <w:gridCol w:w="1962"/>
      </w:tblGrid>
      <w:tr w14:paraId="189AFEF8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  <w:shd w:val="clear" w:color="auto" w:fill="D9E2F3"/>
          </w:tcPr>
          <w:p w14:paraId="6CEFF1DF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排序</w:t>
            </w:r>
          </w:p>
        </w:tc>
        <w:tc>
          <w:tcPr>
            <w:tcW w:w="3960" w:type="dxa"/>
            <w:shd w:val="clear" w:color="auto" w:fill="D9E2F3"/>
          </w:tcPr>
          <w:p w14:paraId="720BE0D0">
            <w:pPr>
              <w:jc w:val="left"/>
            </w:pPr>
            <w:r>
              <w:rPr>
                <w:rFonts w:ascii="宋体" w:hAnsi="宋体" w:eastAsia="宋体"/>
                <w:b/>
                <w:sz w:val="21"/>
              </w:rPr>
              <w:t>供应商名称</w:t>
            </w:r>
          </w:p>
        </w:tc>
        <w:tc>
          <w:tcPr>
            <w:tcW w:w="1065" w:type="dxa"/>
            <w:shd w:val="clear" w:color="auto" w:fill="D9E2F3"/>
          </w:tcPr>
          <w:p w14:paraId="5D145638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综合得分</w:t>
            </w:r>
          </w:p>
        </w:tc>
        <w:tc>
          <w:tcPr>
            <w:tcW w:w="1965" w:type="dxa"/>
            <w:shd w:val="clear" w:color="auto" w:fill="D9E2F3"/>
          </w:tcPr>
          <w:p w14:paraId="7C959623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结论</w:t>
            </w:r>
          </w:p>
        </w:tc>
      </w:tr>
      <w:tr w14:paraId="48264AA9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  <w:shd w:val="clear" w:color="auto" w:fill="FFF2CC"/>
          </w:tcPr>
          <w:p w14:paraId="28AD74AF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第1名</w:t>
            </w:r>
          </w:p>
        </w:tc>
        <w:tc>
          <w:tcPr>
            <w:tcW w:w="3960" w:type="dxa"/>
            <w:shd w:val="clear" w:color="auto" w:fill="FFF2CC"/>
          </w:tcPr>
          <w:p w14:paraId="20EF3666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福州马尾忆佳膳餐饮管理有限公司</w:t>
            </w:r>
          </w:p>
        </w:tc>
        <w:tc>
          <w:tcPr>
            <w:tcW w:w="1065" w:type="dxa"/>
            <w:shd w:val="clear" w:color="auto" w:fill="FFF2CC"/>
          </w:tcPr>
          <w:p w14:paraId="277D76D5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3</w:t>
            </w:r>
            <w:r>
              <w:rPr>
                <w:rFonts w:ascii="宋体" w:hAnsi="宋体" w:eastAsia="宋体"/>
                <w:b w:val="0"/>
                <w:sz w:val="21"/>
              </w:rPr>
              <w:t>.00</w:t>
            </w:r>
          </w:p>
        </w:tc>
        <w:tc>
          <w:tcPr>
            <w:tcW w:w="1965" w:type="dxa"/>
            <w:shd w:val="clear" w:color="auto" w:fill="FFF2CC"/>
          </w:tcPr>
          <w:p w14:paraId="0617C10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第一成交候选人</w:t>
            </w:r>
          </w:p>
        </w:tc>
      </w:tr>
      <w:tr w14:paraId="1070A9D0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</w:tcPr>
          <w:p w14:paraId="7F9691A8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第2名</w:t>
            </w:r>
          </w:p>
        </w:tc>
        <w:tc>
          <w:tcPr>
            <w:tcW w:w="3960" w:type="dxa"/>
          </w:tcPr>
          <w:p w14:paraId="39210DB3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福州兴世达后勤服务有限公司</w:t>
            </w:r>
          </w:p>
        </w:tc>
        <w:tc>
          <w:tcPr>
            <w:tcW w:w="1065" w:type="dxa"/>
          </w:tcPr>
          <w:p w14:paraId="3AE2CA84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</w:t>
            </w: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1</w:t>
            </w:r>
            <w:r>
              <w:rPr>
                <w:rFonts w:ascii="宋体" w:hAnsi="宋体" w:eastAsia="宋体"/>
                <w:b w:val="0"/>
                <w:sz w:val="21"/>
              </w:rPr>
              <w:t>.50</w:t>
            </w:r>
          </w:p>
        </w:tc>
        <w:tc>
          <w:tcPr>
            <w:tcW w:w="1965" w:type="dxa"/>
          </w:tcPr>
          <w:p w14:paraId="5C680C94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第二成交候选人</w:t>
            </w:r>
          </w:p>
        </w:tc>
      </w:tr>
      <w:tr w14:paraId="37A364C5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</w:tcPr>
          <w:p w14:paraId="66C72E4B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第3名</w:t>
            </w:r>
          </w:p>
        </w:tc>
        <w:tc>
          <w:tcPr>
            <w:tcW w:w="3960" w:type="dxa"/>
          </w:tcPr>
          <w:p w14:paraId="63D93D21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福州市长乐区多双筷子餐饮管理有限公司</w:t>
            </w:r>
          </w:p>
        </w:tc>
        <w:tc>
          <w:tcPr>
            <w:tcW w:w="1065" w:type="dxa"/>
          </w:tcPr>
          <w:p w14:paraId="41C65FCF">
            <w:pPr>
              <w:jc w:val="center"/>
            </w:pPr>
            <w:r>
              <w:rPr>
                <w:rFonts w:hint="eastAsia" w:ascii="宋体" w:hAnsi="宋体" w:eastAsia="宋体"/>
                <w:b w:val="0"/>
                <w:sz w:val="21"/>
                <w:lang w:val="en-US" w:eastAsia="zh-CN"/>
              </w:rPr>
              <w:t>77.99</w:t>
            </w:r>
          </w:p>
        </w:tc>
        <w:tc>
          <w:tcPr>
            <w:tcW w:w="1965" w:type="dxa"/>
          </w:tcPr>
          <w:p w14:paraId="2ED197D7"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第三成交候选人</w:t>
            </w:r>
          </w:p>
        </w:tc>
      </w:tr>
    </w:tbl>
    <w:p w14:paraId="2712EC0C">
      <w:pPr>
        <w:pStyle w:val="19"/>
        <w:ind w:left="0" w:leftChars="0" w:firstLine="712" w:firstLineChars="200"/>
      </w:pPr>
      <w:r>
        <w:t>七、中标（成交）供应商及中标金额</w:t>
      </w:r>
    </w:p>
    <w:p w14:paraId="6E0A39F8">
      <w:pPr>
        <w:pStyle w:val="17"/>
      </w:pPr>
      <w:r>
        <w:t>采购人根据磋商小组提交的评审报告，按照成交候选人排序由高到低的原则，确定第一成交候选人为本项目标段二中标（成交）供应商，现将结果公布如下：</w:t>
      </w:r>
    </w:p>
    <w:tbl>
      <w:tblPr>
        <w:tblStyle w:val="9"/>
        <w:tblW w:w="0" w:type="auto"/>
        <w:jc w:val="center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5839"/>
      </w:tblGrid>
      <w:tr w14:paraId="1F9A6758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6CB1AB91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中标（成交）供应商</w:t>
            </w:r>
          </w:p>
        </w:tc>
        <w:tc>
          <w:tcPr>
            <w:tcW w:w="5839" w:type="dxa"/>
          </w:tcPr>
          <w:p w14:paraId="0B972D60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福州马尾忆佳膳餐饮管理有限公司</w:t>
            </w:r>
          </w:p>
        </w:tc>
      </w:tr>
      <w:tr w14:paraId="74E3D083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30E1B7E8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统一社会信用代码</w:t>
            </w:r>
          </w:p>
        </w:tc>
        <w:tc>
          <w:tcPr>
            <w:tcW w:w="5839" w:type="dxa"/>
          </w:tcPr>
          <w:p w14:paraId="12460397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91350105MAKBUN368Y</w:t>
            </w:r>
          </w:p>
        </w:tc>
      </w:tr>
      <w:tr w14:paraId="3D3E852F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96DE10B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法定代表人</w:t>
            </w:r>
          </w:p>
        </w:tc>
        <w:tc>
          <w:tcPr>
            <w:tcW w:w="5839" w:type="dxa"/>
          </w:tcPr>
          <w:p w14:paraId="766187B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张家贤</w:t>
            </w:r>
          </w:p>
        </w:tc>
      </w:tr>
      <w:tr w14:paraId="5378ABCA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190C58F2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通讯地址</w:t>
            </w:r>
          </w:p>
        </w:tc>
        <w:tc>
          <w:tcPr>
            <w:tcW w:w="5839" w:type="dxa"/>
          </w:tcPr>
          <w:p w14:paraId="71A22CC6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福建省福州市马尾区马尾镇朏头村337号12#楼整座2层02</w:t>
            </w:r>
          </w:p>
        </w:tc>
      </w:tr>
      <w:tr w14:paraId="51A4AD0C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7BBA512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中标（成交）金额</w:t>
            </w:r>
          </w:p>
        </w:tc>
        <w:tc>
          <w:tcPr>
            <w:tcW w:w="5839" w:type="dxa"/>
          </w:tcPr>
          <w:p w14:paraId="0DF5A69C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人民币3,779,399.50元/年（大写：叁佰柒拾柒万玖仟叁佰玖拾玖元伍角整/年）</w:t>
            </w:r>
          </w:p>
        </w:tc>
      </w:tr>
      <w:tr w14:paraId="5C21D386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3AACB9F5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综合得分</w:t>
            </w:r>
          </w:p>
        </w:tc>
        <w:tc>
          <w:tcPr>
            <w:tcW w:w="5839" w:type="dxa"/>
          </w:tcPr>
          <w:p w14:paraId="1B016DCE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88.00分（商务10.00分＋技术63.00分＋价格15.00分）</w:t>
            </w:r>
          </w:p>
        </w:tc>
      </w:tr>
      <w:tr w14:paraId="50A6E353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0BBEF6A1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服务期限</w:t>
            </w:r>
          </w:p>
        </w:tc>
        <w:tc>
          <w:tcPr>
            <w:tcW w:w="5839" w:type="dxa"/>
          </w:tcPr>
          <w:p w14:paraId="13EC7CE7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10年（自2026年8月25日起至2036年8月24日止）</w:t>
            </w:r>
          </w:p>
        </w:tc>
      </w:tr>
      <w:tr w14:paraId="50043145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46123C50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履约地点</w:t>
            </w:r>
          </w:p>
        </w:tc>
        <w:tc>
          <w:tcPr>
            <w:tcW w:w="5839" w:type="dxa"/>
          </w:tcPr>
          <w:p w14:paraId="0E0D7C97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福州市阳光实验学校向日葵餐厅</w:t>
            </w:r>
          </w:p>
        </w:tc>
      </w:tr>
      <w:tr w14:paraId="0BFAAEAC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</w:tcPr>
          <w:p w14:paraId="5BFA8E89"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结算方式</w:t>
            </w:r>
          </w:p>
        </w:tc>
        <w:tc>
          <w:tcPr>
            <w:tcW w:w="5839" w:type="dxa"/>
          </w:tcPr>
          <w:p w14:paraId="43B0F7AD"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人工服务费按月据实结算，报价为全费用包干价</w:t>
            </w:r>
          </w:p>
        </w:tc>
      </w:tr>
    </w:tbl>
    <w:p w14:paraId="5CA78442"/>
    <w:p w14:paraId="525092A7">
      <w:pPr>
        <w:pStyle w:val="17"/>
      </w:pPr>
      <w:r>
        <w:t>中标（成交）供应商响应文件中商务、技术等各评审因素响应情况与其投标文件一致，服务承诺覆盖磋商文件全部实质性要求。中标（成交）供应商应在成交通知书发出之日起30日内，按照磋商文件确定的合同文本与采购人签订政府采购合同。</w:t>
      </w:r>
    </w:p>
    <w:p w14:paraId="3C317F80">
      <w:pPr>
        <w:pStyle w:val="19"/>
      </w:pPr>
      <w:r>
        <w:t>八、结果公示及其他</w:t>
      </w:r>
    </w:p>
    <w:p w14:paraId="0F374DB3">
      <w:pPr>
        <w:pStyle w:val="17"/>
      </w:pPr>
      <w:r>
        <w:t>本中标结果自公告之日起按规定进行公示。各响应供应商对评审结果有异议的，可在法定期限内以书面形式向采购人提出质疑，采购人将依法作出答复。</w:t>
      </w:r>
    </w:p>
    <w:p w14:paraId="51B13FEE">
      <w:pPr>
        <w:pStyle w:val="17"/>
      </w:pPr>
      <w:r>
        <w:t>特此报告。</w:t>
      </w:r>
    </w:p>
    <w:p w14:paraId="2629124C">
      <w:pPr>
        <w:pStyle w:val="17"/>
        <w:ind w:left="0" w:leftChars="0" w:firstLine="0" w:firstLineChars="0"/>
      </w:pPr>
    </w:p>
    <w:p w14:paraId="0A0F0F2E">
      <w:pPr>
        <w:pStyle w:val="17"/>
        <w:ind w:left="0" w:leftChars="0" w:firstLine="0" w:firstLineChars="0"/>
      </w:pPr>
    </w:p>
    <w:p w14:paraId="32EAFF4B">
      <w:pPr>
        <w:pStyle w:val="17"/>
        <w:ind w:left="0" w:leftChars="0" w:firstLine="0" w:firstLineChars="0"/>
      </w:pPr>
    </w:p>
    <w:p w14:paraId="57DFEB27">
      <w:pPr>
        <w:pStyle w:val="17"/>
        <w:ind w:left="0" w:leftChars="0" w:firstLine="0" w:firstLineChars="0"/>
      </w:pPr>
    </w:p>
    <w:p w14:paraId="17B33FC7">
      <w:pPr>
        <w:pStyle w:val="17"/>
        <w:ind w:left="0" w:leftChars="0" w:firstLine="0" w:firstLineChars="0"/>
      </w:pPr>
    </w:p>
    <w:p w14:paraId="43956A61">
      <w:pPr>
        <w:pStyle w:val="17"/>
        <w:ind w:left="0" w:leftChars="0" w:firstLine="0" w:firstLineChars="0"/>
      </w:pPr>
    </w:p>
    <w:p w14:paraId="5ACB528A"/>
    <w:p w14:paraId="02344ACE">
      <w:pPr>
        <w:pStyle w:val="32"/>
      </w:pPr>
      <w:r>
        <w:rPr>
          <w:rFonts w:hint="eastAsia"/>
          <w:lang w:val="en-US" w:eastAsia="zh-CN"/>
        </w:rPr>
        <w:t xml:space="preserve">  </w:t>
      </w:r>
      <w:r>
        <w:t>福州市阳光实验学校</w:t>
      </w:r>
    </w:p>
    <w:p w14:paraId="21C80607">
      <w:pPr>
        <w:pStyle w:val="34"/>
      </w:pPr>
      <w:r>
        <w:t>2026年8月14日</w:t>
      </w:r>
    </w:p>
    <w:sectPr>
      <w:footerReference r:id="rId3" w:type="default"/>
      <w:footerReference r:id="rId4" w:type="even"/>
      <w:pgSz w:w="11906" w:h="16838"/>
      <w:pgMar w:top="1440" w:right="1797" w:bottom="1440" w:left="1797" w:header="851" w:footer="851" w:gutter="0"/>
      <w:pgNumType w:fmt="numberInDash"/>
      <w:cols w:space="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67540114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16E3235A">
        <w:pPr>
          <w:pStyle w:val="5"/>
          <w:jc w:val="center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 w14:paraId="6F96DB6D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70942603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351F5986">
        <w:pPr>
          <w:pStyle w:val="5"/>
          <w:jc w:val="center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evenAndOddHeaders w:val="1"/>
  <w:drawingGridHorizontalSpacing w:val="158"/>
  <w:drawingGridVerticalSpacing w:val="579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2766D"/>
    <w:rsid w:val="00060045"/>
    <w:rsid w:val="00061396"/>
    <w:rsid w:val="00064F23"/>
    <w:rsid w:val="000C32D4"/>
    <w:rsid w:val="000F01D9"/>
    <w:rsid w:val="00102960"/>
    <w:rsid w:val="001041C9"/>
    <w:rsid w:val="001516C1"/>
    <w:rsid w:val="00175C21"/>
    <w:rsid w:val="001A6392"/>
    <w:rsid w:val="001B209D"/>
    <w:rsid w:val="001C0ACD"/>
    <w:rsid w:val="001D0EBB"/>
    <w:rsid w:val="001D43B9"/>
    <w:rsid w:val="001D62AC"/>
    <w:rsid w:val="00210BA7"/>
    <w:rsid w:val="0021695C"/>
    <w:rsid w:val="00243723"/>
    <w:rsid w:val="002657DA"/>
    <w:rsid w:val="002B6057"/>
    <w:rsid w:val="002D2611"/>
    <w:rsid w:val="0033075C"/>
    <w:rsid w:val="00340777"/>
    <w:rsid w:val="00351F34"/>
    <w:rsid w:val="003527FB"/>
    <w:rsid w:val="00364FE7"/>
    <w:rsid w:val="003835CD"/>
    <w:rsid w:val="003852B3"/>
    <w:rsid w:val="003856E5"/>
    <w:rsid w:val="00390943"/>
    <w:rsid w:val="003B63BE"/>
    <w:rsid w:val="003D6ACE"/>
    <w:rsid w:val="00405224"/>
    <w:rsid w:val="004179D6"/>
    <w:rsid w:val="00422DB6"/>
    <w:rsid w:val="00442561"/>
    <w:rsid w:val="00465271"/>
    <w:rsid w:val="004824C5"/>
    <w:rsid w:val="00494E37"/>
    <w:rsid w:val="004C353E"/>
    <w:rsid w:val="004D5BB7"/>
    <w:rsid w:val="00522E6F"/>
    <w:rsid w:val="005352FF"/>
    <w:rsid w:val="005359DD"/>
    <w:rsid w:val="00540C38"/>
    <w:rsid w:val="00603C53"/>
    <w:rsid w:val="00654E45"/>
    <w:rsid w:val="00670CD0"/>
    <w:rsid w:val="006940C3"/>
    <w:rsid w:val="006D2E7D"/>
    <w:rsid w:val="00764FCD"/>
    <w:rsid w:val="00863CD4"/>
    <w:rsid w:val="008655E7"/>
    <w:rsid w:val="00866A12"/>
    <w:rsid w:val="00866C78"/>
    <w:rsid w:val="008670FE"/>
    <w:rsid w:val="00872A6B"/>
    <w:rsid w:val="00875604"/>
    <w:rsid w:val="00880DFB"/>
    <w:rsid w:val="008B4B4F"/>
    <w:rsid w:val="008E21E5"/>
    <w:rsid w:val="0091793F"/>
    <w:rsid w:val="00922756"/>
    <w:rsid w:val="00952DF5"/>
    <w:rsid w:val="009F30FE"/>
    <w:rsid w:val="00A05202"/>
    <w:rsid w:val="00A1594F"/>
    <w:rsid w:val="00A7203A"/>
    <w:rsid w:val="00A928FD"/>
    <w:rsid w:val="00AA1964"/>
    <w:rsid w:val="00AA3106"/>
    <w:rsid w:val="00AE3F46"/>
    <w:rsid w:val="00B07B6A"/>
    <w:rsid w:val="00B105EB"/>
    <w:rsid w:val="00B15E4F"/>
    <w:rsid w:val="00BC1214"/>
    <w:rsid w:val="00C363B5"/>
    <w:rsid w:val="00C44748"/>
    <w:rsid w:val="00C67797"/>
    <w:rsid w:val="00CD06AA"/>
    <w:rsid w:val="00CD2B94"/>
    <w:rsid w:val="00CF0227"/>
    <w:rsid w:val="00D115ED"/>
    <w:rsid w:val="00D36B00"/>
    <w:rsid w:val="00D36C62"/>
    <w:rsid w:val="00D622DF"/>
    <w:rsid w:val="00D663BA"/>
    <w:rsid w:val="00D66EAB"/>
    <w:rsid w:val="00D733AC"/>
    <w:rsid w:val="00D93F16"/>
    <w:rsid w:val="00DD418C"/>
    <w:rsid w:val="00E06011"/>
    <w:rsid w:val="00E7734F"/>
    <w:rsid w:val="00EC6527"/>
    <w:rsid w:val="00F1298D"/>
    <w:rsid w:val="00F432CD"/>
    <w:rsid w:val="00F605D6"/>
    <w:rsid w:val="00F722BC"/>
    <w:rsid w:val="00FF155F"/>
    <w:rsid w:val="10486B3A"/>
    <w:rsid w:val="1B775F20"/>
    <w:rsid w:val="23CD7FCE"/>
    <w:rsid w:val="262610FF"/>
    <w:rsid w:val="311566B0"/>
    <w:rsid w:val="34456605"/>
    <w:rsid w:val="374E46CA"/>
    <w:rsid w:val="3CCA0F10"/>
    <w:rsid w:val="47A41272"/>
    <w:rsid w:val="54FC65C7"/>
    <w:rsid w:val="5E205DC2"/>
    <w:rsid w:val="612A13BE"/>
    <w:rsid w:val="624C1682"/>
    <w:rsid w:val="707408FF"/>
    <w:rsid w:val="73C8140E"/>
    <w:rsid w:val="75907424"/>
    <w:rsid w:val="773277E7"/>
    <w:rsid w:val="7F5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9"/>
    <w:qFormat/>
    <w:uiPriority w:val="99"/>
    <w:pPr>
      <w:jc w:val="left"/>
    </w:pPr>
  </w:style>
  <w:style w:type="paragraph" w:styleId="3">
    <w:name w:val="Salutation"/>
    <w:basedOn w:val="1"/>
    <w:next w:val="1"/>
    <w:link w:val="42"/>
    <w:qFormat/>
    <w:uiPriority w:val="0"/>
    <w:rPr>
      <w:rFonts w:ascii="仿宋" w:hAnsi="仿宋" w:eastAsia="仿宋" w:cs="仿宋"/>
      <w:sz w:val="28"/>
      <w:szCs w:val="32"/>
    </w:rPr>
  </w:style>
  <w:style w:type="paragraph" w:styleId="4">
    <w:name w:val="Closing"/>
    <w:basedOn w:val="1"/>
    <w:link w:val="43"/>
    <w:qFormat/>
    <w:uiPriority w:val="0"/>
    <w:pPr>
      <w:ind w:left="100" w:leftChars="2100"/>
    </w:pPr>
    <w:rPr>
      <w:rFonts w:ascii="仿宋" w:hAnsi="仿宋" w:eastAsia="仿宋" w:cs="仿宋"/>
      <w:sz w:val="28"/>
      <w:szCs w:val="32"/>
    </w:rPr>
  </w:style>
  <w:style w:type="paragraph" w:styleId="5">
    <w:name w:val="footer"/>
    <w:basedOn w:val="1"/>
    <w:link w:val="3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3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39"/>
    <w:autoRedefine/>
    <w:qFormat/>
    <w:uiPriority w:val="0"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Cs w:val="32"/>
    </w:rPr>
  </w:style>
  <w:style w:type="paragraph" w:styleId="8">
    <w:name w:val="annotation subject"/>
    <w:basedOn w:val="2"/>
    <w:next w:val="2"/>
    <w:link w:val="30"/>
    <w:qFormat/>
    <w:uiPriority w:val="0"/>
    <w:rPr>
      <w:b/>
      <w:bCs/>
    </w:rPr>
  </w:style>
  <w:style w:type="character" w:styleId="11">
    <w:name w:val="annotation reference"/>
    <w:basedOn w:val="10"/>
    <w:qFormat/>
    <w:uiPriority w:val="99"/>
    <w:rPr>
      <w:sz w:val="21"/>
      <w:szCs w:val="21"/>
    </w:rPr>
  </w:style>
  <w:style w:type="paragraph" w:customStyle="1" w:styleId="12">
    <w:name w:val="全文一级大标题"/>
    <w:basedOn w:val="1"/>
    <w:link w:val="14"/>
    <w:autoRedefine/>
    <w:qFormat/>
    <w:uiPriority w:val="0"/>
    <w:pPr>
      <w:spacing w:line="640" w:lineRule="exact"/>
      <w:jc w:val="center"/>
    </w:pPr>
    <w:rPr>
      <w:rFonts w:ascii="黑体" w:eastAsia="黑体" w:cs="宋体" w:hAnsiTheme="majorEastAsia"/>
      <w:b/>
      <w:color w:val="0D0D0D" w:themeColor="text1" w:themeTint="F2"/>
      <w:sz w:val="44"/>
      <w:szCs w:val="4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13">
    <w:name w:val="全文副标题"/>
    <w:basedOn w:val="1"/>
    <w:link w:val="16"/>
    <w:qFormat/>
    <w:uiPriority w:val="0"/>
    <w:pPr>
      <w:spacing w:line="640" w:lineRule="exact"/>
      <w:jc w:val="center"/>
    </w:pPr>
    <w:rPr>
      <w:rFonts w:ascii="黑体" w:hAnsi="宋体" w:eastAsia="黑体" w:cs="仿宋"/>
      <w:b/>
      <w:sz w:val="38"/>
      <w:szCs w:val="32"/>
    </w:rPr>
  </w:style>
  <w:style w:type="character" w:customStyle="1" w:styleId="14">
    <w:name w:val="全文一级大标题 字符"/>
    <w:basedOn w:val="10"/>
    <w:link w:val="12"/>
    <w:qFormat/>
    <w:uiPriority w:val="0"/>
    <w:rPr>
      <w:rFonts w:ascii="黑体" w:eastAsia="黑体" w:cs="宋体" w:hAnsiTheme="majorEastAsia"/>
      <w:b/>
      <w:color w:val="0D0D0D" w:themeColor="text1" w:themeTint="F2"/>
      <w:kern w:val="2"/>
      <w:sz w:val="44"/>
      <w:szCs w:val="4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15">
    <w:name w:val="抬头或称呼"/>
    <w:basedOn w:val="1"/>
    <w:link w:val="18"/>
    <w:autoRedefine/>
    <w:qFormat/>
    <w:uiPriority w:val="0"/>
    <w:pPr>
      <w:jc w:val="left"/>
    </w:pPr>
    <w:rPr>
      <w:rFonts w:ascii="宋体" w:hAnsi="宋体" w:eastAsia="宋体" w:cs="仿宋"/>
      <w:szCs w:val="32"/>
    </w:rPr>
  </w:style>
  <w:style w:type="character" w:customStyle="1" w:styleId="16">
    <w:name w:val="全文副标题 字符"/>
    <w:basedOn w:val="10"/>
    <w:link w:val="13"/>
    <w:qFormat/>
    <w:uiPriority w:val="0"/>
    <w:rPr>
      <w:rFonts w:ascii="黑体" w:hAnsi="宋体" w:eastAsia="黑体" w:cs="仿宋"/>
      <w:b/>
      <w:kern w:val="2"/>
      <w:sz w:val="38"/>
      <w:szCs w:val="32"/>
    </w:rPr>
  </w:style>
  <w:style w:type="paragraph" w:customStyle="1" w:styleId="17">
    <w:name w:val="文本正文"/>
    <w:basedOn w:val="1"/>
    <w:link w:val="20"/>
    <w:qFormat/>
    <w:uiPriority w:val="0"/>
    <w:pPr>
      <w:spacing w:line="560" w:lineRule="exact"/>
      <w:ind w:firstLine="200" w:firstLineChars="200"/>
    </w:pPr>
    <w:rPr>
      <w:rFonts w:ascii="宋体" w:hAnsi="仿宋" w:eastAsia="宋体" w:cs="仿宋"/>
      <w:szCs w:val="32"/>
    </w:rPr>
  </w:style>
  <w:style w:type="character" w:customStyle="1" w:styleId="18">
    <w:name w:val="抬头或称呼 字符"/>
    <w:basedOn w:val="10"/>
    <w:link w:val="15"/>
    <w:qFormat/>
    <w:uiPriority w:val="0"/>
    <w:rPr>
      <w:rFonts w:ascii="宋体" w:hAnsi="宋体" w:cs="仿宋"/>
      <w:kern w:val="2"/>
      <w:sz w:val="32"/>
      <w:szCs w:val="32"/>
    </w:rPr>
  </w:style>
  <w:style w:type="paragraph" w:customStyle="1" w:styleId="19">
    <w:name w:val="正文一级标题"/>
    <w:basedOn w:val="1"/>
    <w:link w:val="22"/>
    <w:qFormat/>
    <w:uiPriority w:val="0"/>
    <w:pPr>
      <w:spacing w:line="560" w:lineRule="exact"/>
      <w:ind w:firstLine="200" w:firstLineChars="200"/>
    </w:pPr>
    <w:rPr>
      <w:rFonts w:ascii="黑体" w:hAnsi="宋体" w:eastAsia="黑体"/>
      <w:b/>
      <w:bCs/>
      <w:sz w:val="36"/>
    </w:rPr>
  </w:style>
  <w:style w:type="character" w:customStyle="1" w:styleId="20">
    <w:name w:val="文本正文 字符"/>
    <w:basedOn w:val="10"/>
    <w:link w:val="17"/>
    <w:uiPriority w:val="0"/>
    <w:rPr>
      <w:rFonts w:ascii="宋体" w:hAnsi="仿宋" w:cs="仿宋"/>
      <w:kern w:val="2"/>
      <w:sz w:val="32"/>
      <w:szCs w:val="32"/>
    </w:rPr>
  </w:style>
  <w:style w:type="paragraph" w:customStyle="1" w:styleId="21">
    <w:name w:val="正文二级标题"/>
    <w:basedOn w:val="1"/>
    <w:link w:val="58"/>
    <w:qFormat/>
    <w:uiPriority w:val="0"/>
    <w:pPr>
      <w:spacing w:line="560" w:lineRule="exact"/>
      <w:ind w:firstLine="200" w:firstLineChars="200"/>
    </w:pPr>
    <w:rPr>
      <w:rFonts w:ascii="黑体" w:eastAsia="黑体"/>
      <w:b/>
      <w:sz w:val="34"/>
    </w:rPr>
  </w:style>
  <w:style w:type="character" w:customStyle="1" w:styleId="22">
    <w:name w:val="正文一级标题 字符"/>
    <w:basedOn w:val="10"/>
    <w:link w:val="19"/>
    <w:uiPriority w:val="0"/>
    <w:rPr>
      <w:rFonts w:ascii="黑体" w:hAnsi="宋体" w:eastAsia="黑体" w:cstheme="minorBidi"/>
      <w:b/>
      <w:bCs/>
      <w:kern w:val="2"/>
      <w:sz w:val="36"/>
      <w:szCs w:val="22"/>
    </w:rPr>
  </w:style>
  <w:style w:type="paragraph" w:customStyle="1" w:styleId="23">
    <w:name w:val="正文三级标题"/>
    <w:basedOn w:val="1"/>
    <w:link w:val="25"/>
    <w:autoRedefine/>
    <w:qFormat/>
    <w:uiPriority w:val="0"/>
    <w:pPr>
      <w:spacing w:line="560" w:lineRule="exact"/>
      <w:ind w:firstLine="634" w:firstLineChars="200"/>
    </w:pPr>
    <w:rPr>
      <w:rFonts w:ascii="黑体" w:eastAsia="黑体"/>
      <w:b/>
    </w:rPr>
  </w:style>
  <w:style w:type="paragraph" w:customStyle="1" w:styleId="24">
    <w:name w:val="正文四级标题"/>
    <w:basedOn w:val="1"/>
    <w:link w:val="27"/>
    <w:qFormat/>
    <w:uiPriority w:val="0"/>
    <w:pPr>
      <w:spacing w:line="560" w:lineRule="exact"/>
      <w:ind w:firstLine="200" w:firstLineChars="200"/>
    </w:pPr>
    <w:rPr>
      <w:rFonts w:ascii="黑体" w:hAnsi="宋体" w:eastAsia="黑体"/>
    </w:rPr>
  </w:style>
  <w:style w:type="character" w:customStyle="1" w:styleId="25">
    <w:name w:val="正文三级标题 字符"/>
    <w:basedOn w:val="10"/>
    <w:link w:val="23"/>
    <w:qFormat/>
    <w:uiPriority w:val="0"/>
    <w:rPr>
      <w:rFonts w:ascii="黑体" w:hAnsi="仿宋_GB2312" w:eastAsia="黑体" w:cstheme="minorBidi"/>
      <w:b/>
      <w:kern w:val="2"/>
      <w:sz w:val="32"/>
      <w:szCs w:val="22"/>
    </w:rPr>
  </w:style>
  <w:style w:type="paragraph" w:customStyle="1" w:styleId="26">
    <w:name w:val="此致"/>
    <w:basedOn w:val="1"/>
    <w:link w:val="28"/>
    <w:autoRedefine/>
    <w:qFormat/>
    <w:uiPriority w:val="0"/>
    <w:pPr>
      <w:spacing w:line="560" w:lineRule="exact"/>
      <w:ind w:firstLine="200" w:firstLineChars="200"/>
      <w:jc w:val="left"/>
    </w:pPr>
    <w:rPr>
      <w:rFonts w:ascii="宋体" w:hAnsi="宋体" w:eastAsia="宋体" w:cs="仿宋"/>
      <w:szCs w:val="32"/>
    </w:rPr>
  </w:style>
  <w:style w:type="character" w:customStyle="1" w:styleId="27">
    <w:name w:val="正文四级标题 字符"/>
    <w:basedOn w:val="10"/>
    <w:link w:val="24"/>
    <w:uiPriority w:val="0"/>
    <w:rPr>
      <w:rFonts w:ascii="黑体" w:hAnsi="宋体" w:eastAsia="黑体" w:cstheme="minorBidi"/>
      <w:kern w:val="2"/>
      <w:sz w:val="32"/>
      <w:szCs w:val="22"/>
    </w:rPr>
  </w:style>
  <w:style w:type="character" w:customStyle="1" w:styleId="28">
    <w:name w:val="此致 字符"/>
    <w:basedOn w:val="10"/>
    <w:link w:val="26"/>
    <w:qFormat/>
    <w:uiPriority w:val="0"/>
    <w:rPr>
      <w:rFonts w:ascii="宋体" w:hAnsi="宋体" w:cs="仿宋"/>
      <w:kern w:val="2"/>
      <w:sz w:val="32"/>
      <w:szCs w:val="32"/>
    </w:rPr>
  </w:style>
  <w:style w:type="character" w:customStyle="1" w:styleId="29">
    <w:name w:val="批注文字 字符"/>
    <w:basedOn w:val="10"/>
    <w:link w:val="2"/>
    <w:qFormat/>
    <w:uiPriority w:val="99"/>
    <w:rPr>
      <w:rFonts w:eastAsia="宋体"/>
      <w:kern w:val="2"/>
      <w:sz w:val="21"/>
      <w:szCs w:val="22"/>
    </w:rPr>
  </w:style>
  <w:style w:type="character" w:customStyle="1" w:styleId="30">
    <w:name w:val="批注主题 字符"/>
    <w:basedOn w:val="29"/>
    <w:link w:val="8"/>
    <w:qFormat/>
    <w:uiPriority w:val="0"/>
    <w:rPr>
      <w:rFonts w:eastAsia="宋体"/>
      <w:b/>
      <w:bCs/>
      <w:kern w:val="2"/>
      <w:sz w:val="21"/>
      <w:szCs w:val="22"/>
    </w:rPr>
  </w:style>
  <w:style w:type="paragraph" w:customStyle="1" w:styleId="31">
    <w:name w:val="祝辞"/>
    <w:basedOn w:val="1"/>
    <w:link w:val="33"/>
    <w:autoRedefine/>
    <w:qFormat/>
    <w:uiPriority w:val="0"/>
    <w:pPr>
      <w:spacing w:line="560" w:lineRule="exact"/>
    </w:pPr>
    <w:rPr>
      <w:rFonts w:ascii="宋体" w:hAnsi="宋体" w:eastAsia="宋体" w:cs="仿宋"/>
      <w:szCs w:val="32"/>
    </w:rPr>
  </w:style>
  <w:style w:type="paragraph" w:customStyle="1" w:styleId="32">
    <w:name w:val="落款或署名"/>
    <w:basedOn w:val="1"/>
    <w:link w:val="35"/>
    <w:autoRedefine/>
    <w:qFormat/>
    <w:uiPriority w:val="0"/>
    <w:pPr>
      <w:spacing w:line="560" w:lineRule="exact"/>
      <w:jc w:val="right"/>
    </w:pPr>
    <w:rPr>
      <w:rFonts w:ascii="宋体" w:hAnsi="宋体" w:eastAsia="宋体" w:cs="仿宋"/>
      <w:szCs w:val="32"/>
    </w:rPr>
  </w:style>
  <w:style w:type="character" w:customStyle="1" w:styleId="33">
    <w:name w:val="祝辞 字符"/>
    <w:basedOn w:val="10"/>
    <w:link w:val="31"/>
    <w:qFormat/>
    <w:uiPriority w:val="0"/>
    <w:rPr>
      <w:rFonts w:ascii="宋体" w:hAnsi="宋体" w:cs="仿宋"/>
      <w:kern w:val="2"/>
      <w:sz w:val="32"/>
      <w:szCs w:val="32"/>
    </w:rPr>
  </w:style>
  <w:style w:type="paragraph" w:customStyle="1" w:styleId="34">
    <w:name w:val="日期或时间"/>
    <w:basedOn w:val="1"/>
    <w:link w:val="36"/>
    <w:autoRedefine/>
    <w:qFormat/>
    <w:uiPriority w:val="0"/>
    <w:pPr>
      <w:spacing w:line="560" w:lineRule="exact"/>
      <w:jc w:val="right"/>
    </w:pPr>
    <w:rPr>
      <w:rFonts w:ascii="宋体" w:hAnsi="宋体" w:eastAsia="宋体"/>
      <w:shd w:val="clear" w:color="auto" w:fill="FFFFFF"/>
    </w:rPr>
  </w:style>
  <w:style w:type="character" w:customStyle="1" w:styleId="35">
    <w:name w:val="落款或署名 字符"/>
    <w:basedOn w:val="10"/>
    <w:link w:val="32"/>
    <w:uiPriority w:val="0"/>
    <w:rPr>
      <w:rFonts w:ascii="宋体" w:hAnsi="宋体" w:cs="仿宋"/>
      <w:kern w:val="2"/>
      <w:sz w:val="32"/>
      <w:szCs w:val="32"/>
    </w:rPr>
  </w:style>
  <w:style w:type="character" w:customStyle="1" w:styleId="36">
    <w:name w:val="日期或时间 字符"/>
    <w:basedOn w:val="10"/>
    <w:link w:val="34"/>
    <w:uiPriority w:val="0"/>
    <w:rPr>
      <w:rFonts w:ascii="宋体" w:hAnsi="宋体" w:cstheme="minorBidi"/>
      <w:kern w:val="2"/>
      <w:sz w:val="32"/>
      <w:szCs w:val="22"/>
    </w:rPr>
  </w:style>
  <w:style w:type="character" w:customStyle="1" w:styleId="37">
    <w:name w:val="页眉 字符"/>
    <w:basedOn w:val="10"/>
    <w:link w:val="6"/>
    <w:qFormat/>
    <w:uiPriority w:val="0"/>
    <w:rPr>
      <w:rFonts w:eastAsia="宋体"/>
      <w:kern w:val="2"/>
      <w:sz w:val="18"/>
      <w:szCs w:val="18"/>
    </w:rPr>
  </w:style>
  <w:style w:type="character" w:customStyle="1" w:styleId="38">
    <w:name w:val="页脚 字符"/>
    <w:basedOn w:val="10"/>
    <w:link w:val="5"/>
    <w:qFormat/>
    <w:uiPriority w:val="99"/>
    <w:rPr>
      <w:rFonts w:eastAsia="宋体"/>
      <w:kern w:val="2"/>
      <w:sz w:val="18"/>
      <w:szCs w:val="18"/>
    </w:rPr>
  </w:style>
  <w:style w:type="character" w:customStyle="1" w:styleId="39">
    <w:name w:val="副标题 字符"/>
    <w:basedOn w:val="10"/>
    <w:link w:val="7"/>
    <w:qFormat/>
    <w:uiPriority w:val="0"/>
    <w:rPr>
      <w:b/>
      <w:bCs/>
      <w:kern w:val="28"/>
      <w:sz w:val="32"/>
      <w:szCs w:val="32"/>
    </w:rPr>
  </w:style>
  <w:style w:type="paragraph" w:customStyle="1" w:styleId="40">
    <w:name w:val="署名信息"/>
    <w:basedOn w:val="1"/>
    <w:link w:val="41"/>
    <w:autoRedefine/>
    <w:qFormat/>
    <w:uiPriority w:val="0"/>
    <w:pPr>
      <w:spacing w:line="560" w:lineRule="exact"/>
      <w:jc w:val="right"/>
    </w:pPr>
    <w:rPr>
      <w:rFonts w:eastAsia="宋体"/>
    </w:rPr>
  </w:style>
  <w:style w:type="character" w:customStyle="1" w:styleId="41">
    <w:name w:val="署名信息 字符"/>
    <w:basedOn w:val="33"/>
    <w:link w:val="40"/>
    <w:qFormat/>
    <w:uiPriority w:val="0"/>
    <w:rPr>
      <w:rFonts w:ascii="仿宋_GB2312" w:hAnsi="仿宋_GB2312" w:cstheme="minorBidi"/>
      <w:kern w:val="2"/>
      <w:sz w:val="32"/>
      <w:szCs w:val="22"/>
    </w:rPr>
  </w:style>
  <w:style w:type="character" w:customStyle="1" w:styleId="42">
    <w:name w:val="称呼 字符"/>
    <w:basedOn w:val="10"/>
    <w:link w:val="3"/>
    <w:uiPriority w:val="0"/>
    <w:rPr>
      <w:rFonts w:ascii="仿宋" w:hAnsi="仿宋" w:eastAsia="仿宋" w:cs="仿宋"/>
      <w:kern w:val="2"/>
      <w:sz w:val="28"/>
      <w:szCs w:val="32"/>
    </w:rPr>
  </w:style>
  <w:style w:type="character" w:customStyle="1" w:styleId="43">
    <w:name w:val="结束语 字符"/>
    <w:basedOn w:val="10"/>
    <w:link w:val="4"/>
    <w:uiPriority w:val="0"/>
    <w:rPr>
      <w:rFonts w:ascii="仿宋" w:hAnsi="仿宋" w:eastAsia="仿宋" w:cs="仿宋"/>
      <w:kern w:val="2"/>
      <w:sz w:val="28"/>
      <w:szCs w:val="32"/>
    </w:rPr>
  </w:style>
  <w:style w:type="paragraph" w:customStyle="1" w:styleId="44">
    <w:name w:val="目录标题"/>
    <w:basedOn w:val="1"/>
    <w:link w:val="46"/>
    <w:qFormat/>
    <w:uiPriority w:val="0"/>
    <w:pPr>
      <w:spacing w:before="50" w:beforeLines="50" w:after="50" w:afterLines="50"/>
      <w:jc w:val="center"/>
    </w:pPr>
    <w:rPr>
      <w:rFonts w:ascii="宋体" w:hAnsi="宋体" w:eastAsia="宋体" w:cs="宋体"/>
      <w:b/>
      <w:bCs/>
      <w:spacing w:val="20"/>
      <w:sz w:val="36"/>
      <w:szCs w:val="44"/>
    </w:rPr>
  </w:style>
  <w:style w:type="paragraph" w:customStyle="1" w:styleId="45">
    <w:name w:val="一级目录"/>
    <w:link w:val="47"/>
    <w:qFormat/>
    <w:uiPriority w:val="0"/>
    <w:pPr>
      <w:tabs>
        <w:tab w:val="right" w:leader="dot" w:pos="8820"/>
      </w:tabs>
      <w:jc w:val="both"/>
    </w:pPr>
    <w:rPr>
      <w:rFonts w:ascii="宋体" w:hAnsi="宋体" w:eastAsia="宋体" w:cs="宋体"/>
      <w:spacing w:val="20"/>
      <w:kern w:val="2"/>
      <w:sz w:val="24"/>
      <w:szCs w:val="28"/>
      <w:lang w:val="en-US" w:eastAsia="zh-CN" w:bidi="ar-SA"/>
    </w:rPr>
  </w:style>
  <w:style w:type="character" w:customStyle="1" w:styleId="46">
    <w:name w:val="目录标题 字符"/>
    <w:link w:val="44"/>
    <w:qFormat/>
    <w:uiPriority w:val="0"/>
    <w:rPr>
      <w:rFonts w:ascii="宋体" w:hAnsi="宋体" w:cs="宋体"/>
      <w:b/>
      <w:bCs/>
      <w:spacing w:val="20"/>
      <w:kern w:val="2"/>
      <w:sz w:val="36"/>
      <w:szCs w:val="44"/>
    </w:rPr>
  </w:style>
  <w:style w:type="character" w:customStyle="1" w:styleId="47">
    <w:name w:val="一级目录 字符"/>
    <w:link w:val="45"/>
    <w:qFormat/>
    <w:uiPriority w:val="0"/>
    <w:rPr>
      <w:rFonts w:ascii="宋体" w:hAnsi="宋体" w:cs="宋体"/>
      <w:spacing w:val="20"/>
      <w:kern w:val="2"/>
      <w:sz w:val="24"/>
      <w:szCs w:val="28"/>
    </w:rPr>
  </w:style>
  <w:style w:type="paragraph" w:customStyle="1" w:styleId="48">
    <w:name w:val="二级目录"/>
    <w:link w:val="49"/>
    <w:qFormat/>
    <w:uiPriority w:val="0"/>
    <w:pPr>
      <w:tabs>
        <w:tab w:val="right" w:leader="dot" w:pos="8820"/>
      </w:tabs>
      <w:ind w:firstLine="200" w:firstLineChars="200"/>
    </w:pPr>
    <w:rPr>
      <w:rFonts w:ascii="宋体" w:hAnsi="宋体" w:eastAsia="宋体" w:cs="宋体"/>
      <w:spacing w:val="20"/>
      <w:kern w:val="2"/>
      <w:sz w:val="24"/>
      <w:szCs w:val="28"/>
      <w:lang w:val="en-US" w:eastAsia="zh-CN" w:bidi="ar-SA"/>
    </w:rPr>
  </w:style>
  <w:style w:type="character" w:customStyle="1" w:styleId="49">
    <w:name w:val="二级目录 字符"/>
    <w:link w:val="48"/>
    <w:qFormat/>
    <w:uiPriority w:val="0"/>
    <w:rPr>
      <w:rFonts w:ascii="宋体" w:hAnsi="宋体" w:cs="宋体"/>
      <w:spacing w:val="20"/>
      <w:kern w:val="2"/>
      <w:sz w:val="24"/>
      <w:szCs w:val="28"/>
    </w:rPr>
  </w:style>
  <w:style w:type="paragraph" w:customStyle="1" w:styleId="50">
    <w:name w:val="三级目录"/>
    <w:link w:val="51"/>
    <w:qFormat/>
    <w:uiPriority w:val="0"/>
    <w:pPr>
      <w:tabs>
        <w:tab w:val="right" w:leader="dot" w:pos="8820"/>
      </w:tabs>
      <w:ind w:firstLine="400" w:firstLineChars="400"/>
    </w:pPr>
    <w:rPr>
      <w:rFonts w:ascii="宋体" w:hAnsi="宋体" w:eastAsia="宋体" w:cs="宋体"/>
      <w:spacing w:val="20"/>
      <w:kern w:val="2"/>
      <w:sz w:val="24"/>
      <w:szCs w:val="28"/>
      <w:lang w:val="en-US" w:eastAsia="zh-CN" w:bidi="ar-SA"/>
    </w:rPr>
  </w:style>
  <w:style w:type="character" w:customStyle="1" w:styleId="51">
    <w:name w:val="三级目录 字符"/>
    <w:link w:val="50"/>
    <w:uiPriority w:val="0"/>
    <w:rPr>
      <w:rFonts w:ascii="宋体" w:hAnsi="宋体" w:cs="宋体"/>
      <w:spacing w:val="20"/>
      <w:kern w:val="2"/>
      <w:sz w:val="24"/>
      <w:szCs w:val="28"/>
    </w:rPr>
  </w:style>
  <w:style w:type="paragraph" w:customStyle="1" w:styleId="52">
    <w:name w:val="四级目录"/>
    <w:link w:val="53"/>
    <w:qFormat/>
    <w:uiPriority w:val="0"/>
    <w:pPr>
      <w:tabs>
        <w:tab w:val="right" w:leader="dot" w:pos="8820"/>
      </w:tabs>
      <w:ind w:firstLine="600" w:firstLineChars="600"/>
    </w:pPr>
    <w:rPr>
      <w:rFonts w:ascii="宋体" w:hAnsi="宋体" w:eastAsia="宋体" w:cs="宋体"/>
      <w:spacing w:val="20"/>
      <w:kern w:val="2"/>
      <w:sz w:val="24"/>
      <w:szCs w:val="28"/>
      <w:lang w:val="en-US" w:eastAsia="zh-CN" w:bidi="ar-SA"/>
    </w:rPr>
  </w:style>
  <w:style w:type="character" w:customStyle="1" w:styleId="53">
    <w:name w:val="四级目录 字符"/>
    <w:link w:val="52"/>
    <w:uiPriority w:val="0"/>
    <w:rPr>
      <w:rFonts w:ascii="宋体" w:hAnsi="宋体" w:cs="宋体"/>
      <w:spacing w:val="20"/>
      <w:kern w:val="2"/>
      <w:sz w:val="24"/>
      <w:szCs w:val="28"/>
    </w:rPr>
  </w:style>
  <w:style w:type="paragraph" w:customStyle="1" w:styleId="54">
    <w:name w:val="题记正文"/>
    <w:link w:val="56"/>
    <w:qFormat/>
    <w:uiPriority w:val="0"/>
    <w:pPr>
      <w:spacing w:line="560" w:lineRule="exact"/>
    </w:pPr>
    <w:rPr>
      <w:rFonts w:ascii="宋体" w:hAnsi="宋体" w:eastAsia="宋体" w:cs="仿宋"/>
      <w:kern w:val="2"/>
      <w:sz w:val="32"/>
      <w:szCs w:val="32"/>
      <w:lang w:val="en-US" w:eastAsia="zh-CN" w:bidi="ar-SA"/>
    </w:rPr>
  </w:style>
  <w:style w:type="paragraph" w:customStyle="1" w:styleId="55">
    <w:name w:val="题记标题"/>
    <w:link w:val="57"/>
    <w:qFormat/>
    <w:uiPriority w:val="0"/>
    <w:pPr>
      <w:spacing w:line="560" w:lineRule="exact"/>
      <w:jc w:val="right"/>
    </w:pPr>
    <w:rPr>
      <w:rFonts w:ascii="楷体" w:hAnsi="楷体" w:eastAsia="楷体" w:cs="仿宋"/>
      <w:kern w:val="2"/>
      <w:sz w:val="32"/>
      <w:szCs w:val="32"/>
      <w:lang w:val="en-US" w:eastAsia="zh-CN" w:bidi="ar-SA"/>
    </w:rPr>
  </w:style>
  <w:style w:type="character" w:customStyle="1" w:styleId="56">
    <w:name w:val="题记正文 字符"/>
    <w:basedOn w:val="20"/>
    <w:link w:val="54"/>
    <w:qFormat/>
    <w:uiPriority w:val="0"/>
    <w:rPr>
      <w:rFonts w:ascii="宋体" w:hAnsi="宋体" w:cs="仿宋"/>
      <w:kern w:val="2"/>
      <w:sz w:val="32"/>
      <w:szCs w:val="32"/>
    </w:rPr>
  </w:style>
  <w:style w:type="character" w:customStyle="1" w:styleId="57">
    <w:name w:val="题记标题 字符"/>
    <w:basedOn w:val="56"/>
    <w:link w:val="55"/>
    <w:qFormat/>
    <w:uiPriority w:val="0"/>
    <w:rPr>
      <w:rFonts w:ascii="楷体" w:hAnsi="楷体" w:eastAsia="楷体" w:cs="仿宋"/>
      <w:kern w:val="2"/>
      <w:sz w:val="32"/>
      <w:szCs w:val="32"/>
    </w:rPr>
  </w:style>
  <w:style w:type="character" w:customStyle="1" w:styleId="58">
    <w:name w:val="正文二级标题 字符"/>
    <w:basedOn w:val="10"/>
    <w:link w:val="21"/>
    <w:qFormat/>
    <w:uiPriority w:val="0"/>
    <w:rPr>
      <w:rFonts w:ascii="黑体" w:hAnsi="仿宋_GB2312" w:eastAsia="黑体" w:cstheme="minorBidi"/>
      <w:b/>
      <w:kern w:val="2"/>
      <w:sz w:val="3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1272</Words>
  <Characters>1384</Characters>
  <Lines>11</Lines>
  <Paragraphs>3</Paragraphs>
  <TotalTime>0</TotalTime>
  <ScaleCrop>false</ScaleCrop>
  <LinksUpToDate>false</LinksUpToDate>
  <CharactersWithSpaces>1386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2025-08-04T03:15:00Z</dcterms:created>
  <dc:creator>yu</dc:creator>
  <cp:lastModifiedBy>林先生</cp:lastModifiedBy>
  <dcterms:modified xsi:type="dcterms:W3CDTF">2026-09-10T02:34:03Z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eyJoZGlkIjoiNzIwNGE3MDJmYTEzZTg2NjA4MDQ2NjgxNDUyNTM5ZDAiLCJ1c2VySWQiOiIzNzcyODA1OTIifQ==</vt:lpwstr>
  </property>
  <property fmtid="{D5CDD505-2E9C-101B-9397-08002B2CF9AE}" pid="5" name="property1">
    <vt:lpwstr>BBAAD9C20014179B94A0072836F0B97042B9B20A10322B00A0D98F30B1392BD9CB46BD3801CE7B0F229923089846F6EB89E9217A11D0DBA11BBFC2F17B6E3BD124DDC5AD5827895714902AE7630F4391DC25E4CC7C9D22D6A8EC71913CF4DCD8DA8624929E3</vt:lpwstr>
  </property>
  <property fmtid="{D5CDD505-2E9C-101B-9397-08002B2CF9AE}" pid="6" name="property2">
    <vt:lpwstr>BBAAD9C20014179B94A0072836F0BFD0E2B9B20210916BD0A5D98133B19D2BE9CB4CB83801CBFB022249260898462DEBF5E921DAB1D08B511BBFC22E7A0E36DC24DDBBAD7C2DA9B7E4B4259768FF4393B6F3E5C97450C284B8FB81955069DCA8D8A629913E3</vt:lpwstr>
  </property>
  <property fmtid="{D5CDD505-2E9C-101B-9397-08002B2CF9AE}" pid="7" name="property3">
    <vt:lpwstr>BBAAD9C20014179B94A0072836F0B6D062B9B20F15040BD0A3D98F33B1CB2B767B44BC38A1C1DB0B22092008984663EBDCE9210AB1D0BB511BBFC2EB7BAE36D824DF3DAD2022B9B794C829376E2F4E8F5943EEE17CFF0183A8DE4195FA812C68DEA6229EBE3</vt:lpwstr>
  </property>
</Properties>
</file>